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53D875" w14:textId="77777777" w:rsidR="00072ECE" w:rsidRPr="00072ECE" w:rsidRDefault="00072ECE" w:rsidP="00072ECE">
      <w:pPr>
        <w:spacing w:after="0" w:line="360" w:lineRule="auto"/>
        <w:jc w:val="center"/>
        <w:rPr>
          <w:sz w:val="32"/>
          <w:szCs w:val="32"/>
          <w:u w:val="single"/>
        </w:rPr>
      </w:pPr>
      <w:r w:rsidRPr="00072ECE">
        <w:rPr>
          <w:sz w:val="32"/>
          <w:szCs w:val="32"/>
          <w:u w:val="single"/>
        </w:rPr>
        <w:t>Supporting Information</w:t>
      </w:r>
    </w:p>
    <w:p w14:paraId="0BA3F279" w14:textId="51BAAD04" w:rsidR="00072ECE" w:rsidRPr="00326E72" w:rsidRDefault="00F333C7" w:rsidP="00072ECE">
      <w:pPr>
        <w:spacing w:after="0" w:line="360" w:lineRule="auto"/>
        <w:jc w:val="both"/>
        <w:rPr>
          <w:sz w:val="28"/>
          <w:szCs w:val="28"/>
        </w:rPr>
      </w:pPr>
      <w:r w:rsidRPr="00326E72">
        <w:rPr>
          <w:sz w:val="28"/>
          <w:szCs w:val="28"/>
        </w:rPr>
        <w:t>Energetic Stability and Its Role in the Mechanism of Ionic Transport in NASICON-type Solid State Electrolyte Li</w:t>
      </w:r>
      <w:r w:rsidRPr="00326E72">
        <w:rPr>
          <w:sz w:val="28"/>
          <w:szCs w:val="28"/>
          <w:vertAlign w:val="subscript"/>
        </w:rPr>
        <w:t>1+x</w:t>
      </w:r>
      <w:r w:rsidRPr="00326E72">
        <w:rPr>
          <w:sz w:val="28"/>
          <w:szCs w:val="28"/>
        </w:rPr>
        <w:t>Al</w:t>
      </w:r>
      <w:r w:rsidRPr="00326E72">
        <w:rPr>
          <w:sz w:val="28"/>
          <w:szCs w:val="28"/>
          <w:vertAlign w:val="subscript"/>
        </w:rPr>
        <w:t>x</w:t>
      </w:r>
      <w:r w:rsidRPr="00326E72">
        <w:rPr>
          <w:sz w:val="28"/>
          <w:szCs w:val="28"/>
        </w:rPr>
        <w:t>Ti</w:t>
      </w:r>
      <w:r w:rsidRPr="00326E72">
        <w:rPr>
          <w:sz w:val="28"/>
          <w:szCs w:val="28"/>
          <w:vertAlign w:val="subscript"/>
        </w:rPr>
        <w:t>2-x</w:t>
      </w:r>
      <w:r w:rsidRPr="00326E72">
        <w:rPr>
          <w:sz w:val="28"/>
          <w:szCs w:val="28"/>
        </w:rPr>
        <w:t>(PO</w:t>
      </w:r>
      <w:r w:rsidRPr="00326E72">
        <w:rPr>
          <w:sz w:val="28"/>
          <w:szCs w:val="28"/>
          <w:vertAlign w:val="subscript"/>
        </w:rPr>
        <w:t>4</w:t>
      </w:r>
      <w:r w:rsidRPr="00326E72">
        <w:rPr>
          <w:sz w:val="28"/>
          <w:szCs w:val="28"/>
        </w:rPr>
        <w:t>)</w:t>
      </w:r>
      <w:r w:rsidRPr="00326E72">
        <w:rPr>
          <w:sz w:val="28"/>
          <w:szCs w:val="28"/>
          <w:vertAlign w:val="subscript"/>
        </w:rPr>
        <w:t>3</w:t>
      </w:r>
    </w:p>
    <w:p w14:paraId="2B99CA00" w14:textId="4155BEA4" w:rsidR="00072ECE" w:rsidRDefault="00072ECE" w:rsidP="00072ECE">
      <w:pPr>
        <w:spacing w:after="0" w:line="360" w:lineRule="auto"/>
        <w:jc w:val="both"/>
        <w:rPr>
          <w:sz w:val="24"/>
          <w:szCs w:val="24"/>
        </w:rPr>
      </w:pPr>
      <w:r w:rsidRPr="00CB0E44">
        <w:rPr>
          <w:sz w:val="24"/>
          <w:szCs w:val="24"/>
        </w:rPr>
        <w:t>Mykola Abramchuk</w:t>
      </w:r>
      <w:r w:rsidRPr="00002298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)</w:t>
      </w:r>
      <w:r w:rsidRPr="00CB0E44">
        <w:rPr>
          <w:sz w:val="24"/>
          <w:szCs w:val="24"/>
        </w:rPr>
        <w:t>, Albert A. Voskanyan</w:t>
      </w:r>
      <w:r w:rsidRPr="00002298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)</w:t>
      </w:r>
      <w:r w:rsidRPr="00CB0E44">
        <w:rPr>
          <w:sz w:val="24"/>
          <w:szCs w:val="24"/>
        </w:rPr>
        <w:t xml:space="preserve">, </w:t>
      </w:r>
      <w:proofErr w:type="spellStart"/>
      <w:r w:rsidRPr="004721A7">
        <w:rPr>
          <w:sz w:val="24"/>
          <w:szCs w:val="24"/>
        </w:rPr>
        <w:t>Yulia</w:t>
      </w:r>
      <w:proofErr w:type="spellEnd"/>
      <w:r w:rsidRPr="004721A7">
        <w:rPr>
          <w:sz w:val="24"/>
          <w:szCs w:val="24"/>
        </w:rPr>
        <w:t xml:space="preserve"> Arinicheva</w:t>
      </w:r>
      <w:r w:rsidRPr="004721A7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, </w:t>
      </w:r>
      <w:r w:rsidRPr="00CB0E44">
        <w:rPr>
          <w:sz w:val="24"/>
          <w:szCs w:val="24"/>
        </w:rPr>
        <w:t>Kristina Lilova</w:t>
      </w:r>
      <w:r w:rsidRPr="00002298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 xml:space="preserve">, </w:t>
      </w:r>
      <w:proofErr w:type="spellStart"/>
      <w:r w:rsidRPr="00CB0E44">
        <w:rPr>
          <w:sz w:val="24"/>
          <w:szCs w:val="24"/>
        </w:rPr>
        <w:t>Tamilarasan</w:t>
      </w:r>
      <w:proofErr w:type="spellEnd"/>
      <w:r w:rsidRPr="00CB0E44">
        <w:rPr>
          <w:sz w:val="24"/>
          <w:szCs w:val="24"/>
        </w:rPr>
        <w:t xml:space="preserve"> Subramani</w:t>
      </w:r>
      <w:r w:rsidRPr="00002298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)</w:t>
      </w:r>
      <w:r w:rsidRPr="00CB0E44">
        <w:rPr>
          <w:sz w:val="24"/>
          <w:szCs w:val="24"/>
        </w:rPr>
        <w:t xml:space="preserve">, </w:t>
      </w:r>
      <w:proofErr w:type="spellStart"/>
      <w:r w:rsidR="000B1512">
        <w:rPr>
          <w:sz w:val="24"/>
          <w:szCs w:val="24"/>
        </w:rPr>
        <w:t>Qianli</w:t>
      </w:r>
      <w:proofErr w:type="spellEnd"/>
      <w:r w:rsidR="000B1512">
        <w:rPr>
          <w:sz w:val="24"/>
          <w:szCs w:val="24"/>
        </w:rPr>
        <w:t xml:space="preserve"> Ma</w:t>
      </w:r>
      <w:r w:rsidR="000B1512" w:rsidRPr="00B01F93">
        <w:rPr>
          <w:sz w:val="24"/>
          <w:szCs w:val="24"/>
          <w:vertAlign w:val="superscript"/>
        </w:rPr>
        <w:t>2)</w:t>
      </w:r>
      <w:r w:rsidR="000B1512">
        <w:rPr>
          <w:sz w:val="24"/>
          <w:szCs w:val="24"/>
        </w:rPr>
        <w:t>,</w:t>
      </w:r>
      <w:r w:rsidR="00B01F93" w:rsidRPr="00B01F93">
        <w:rPr>
          <w:sz w:val="24"/>
          <w:szCs w:val="24"/>
        </w:rPr>
        <w:t xml:space="preserve"> </w:t>
      </w:r>
      <w:proofErr w:type="spellStart"/>
      <w:r w:rsidR="00B01F93" w:rsidRPr="00B01F93">
        <w:rPr>
          <w:sz w:val="24"/>
          <w:szCs w:val="24"/>
        </w:rPr>
        <w:t>Enkhtsetseg</w:t>
      </w:r>
      <w:proofErr w:type="spellEnd"/>
      <w:r w:rsidR="00B01F93" w:rsidRPr="00B01F93">
        <w:rPr>
          <w:sz w:val="24"/>
          <w:szCs w:val="24"/>
        </w:rPr>
        <w:t xml:space="preserve"> Dashjav</w:t>
      </w:r>
      <w:r w:rsidR="00B01F93" w:rsidRPr="00B01F93">
        <w:rPr>
          <w:sz w:val="24"/>
          <w:szCs w:val="24"/>
          <w:vertAlign w:val="superscript"/>
        </w:rPr>
        <w:t>2)</w:t>
      </w:r>
      <w:r w:rsidR="00B01F93" w:rsidRPr="00B01F93">
        <w:rPr>
          <w:sz w:val="24"/>
          <w:szCs w:val="24"/>
        </w:rPr>
        <w:t>, Martin Finsterbusch</w:t>
      </w:r>
      <w:r w:rsidR="00B01F93" w:rsidRPr="00B01F93">
        <w:rPr>
          <w:sz w:val="24"/>
          <w:szCs w:val="24"/>
          <w:vertAlign w:val="superscript"/>
        </w:rPr>
        <w:t>2)</w:t>
      </w:r>
      <w:r w:rsidR="00B01F93">
        <w:rPr>
          <w:sz w:val="24"/>
          <w:szCs w:val="24"/>
        </w:rPr>
        <w:t xml:space="preserve"> </w:t>
      </w:r>
      <w:r w:rsidRPr="00CB0E44">
        <w:rPr>
          <w:sz w:val="24"/>
          <w:szCs w:val="24"/>
        </w:rPr>
        <w:t>and Alexandra Navrotsky</w:t>
      </w:r>
      <w:r>
        <w:rPr>
          <w:sz w:val="24"/>
          <w:szCs w:val="24"/>
        </w:rPr>
        <w:t>*</w:t>
      </w:r>
      <w:r>
        <w:rPr>
          <w:sz w:val="24"/>
          <w:szCs w:val="24"/>
          <w:vertAlign w:val="superscript"/>
        </w:rPr>
        <w:t>,</w:t>
      </w:r>
      <w:r w:rsidRPr="00002298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>)</w:t>
      </w:r>
    </w:p>
    <w:p w14:paraId="45E724C3" w14:textId="77777777" w:rsidR="00072ECE" w:rsidRDefault="00072ECE" w:rsidP="00072ECE">
      <w:p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CC1656">
        <w:rPr>
          <w:sz w:val="24"/>
          <w:szCs w:val="24"/>
        </w:rPr>
        <w:t>School of Molecular Sciences and Center for Materials of the Universe, Arizona State University, Tempe, AZ 85281</w:t>
      </w:r>
      <w:r>
        <w:rPr>
          <w:sz w:val="24"/>
          <w:szCs w:val="24"/>
        </w:rPr>
        <w:t>, United States</w:t>
      </w:r>
    </w:p>
    <w:p w14:paraId="4F7A209C" w14:textId="2F537B48" w:rsidR="00072ECE" w:rsidRDefault="00072ECE" w:rsidP="00072EC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proofErr w:type="spellStart"/>
      <w:r w:rsidRPr="007C1D08">
        <w:rPr>
          <w:sz w:val="24"/>
          <w:szCs w:val="24"/>
        </w:rPr>
        <w:t>Forschungszentrum</w:t>
      </w:r>
      <w:proofErr w:type="spellEnd"/>
      <w:r w:rsidRPr="007C1D08">
        <w:rPr>
          <w:sz w:val="24"/>
          <w:szCs w:val="24"/>
        </w:rPr>
        <w:t xml:space="preserve"> </w:t>
      </w:r>
      <w:proofErr w:type="spellStart"/>
      <w:r w:rsidRPr="007C1D08">
        <w:rPr>
          <w:sz w:val="24"/>
          <w:szCs w:val="24"/>
        </w:rPr>
        <w:t>Jülich</w:t>
      </w:r>
      <w:proofErr w:type="spellEnd"/>
      <w:r w:rsidRPr="007C1D08">
        <w:rPr>
          <w:sz w:val="24"/>
          <w:szCs w:val="24"/>
        </w:rPr>
        <w:t xml:space="preserve"> GmbH, Institute for Energy and Climate Research, Materials Synthesis and Processing (IEK-1), 52425 </w:t>
      </w:r>
      <w:proofErr w:type="spellStart"/>
      <w:r w:rsidRPr="007C1D08">
        <w:rPr>
          <w:sz w:val="24"/>
          <w:szCs w:val="24"/>
        </w:rPr>
        <w:t>Jülich</w:t>
      </w:r>
      <w:proofErr w:type="spellEnd"/>
      <w:r w:rsidRPr="007C1D08">
        <w:rPr>
          <w:sz w:val="24"/>
          <w:szCs w:val="24"/>
        </w:rPr>
        <w:t>, Germany</w:t>
      </w:r>
    </w:p>
    <w:p w14:paraId="1B41DD5C" w14:textId="77777777" w:rsidR="00072ECE" w:rsidRPr="00FE76E1" w:rsidRDefault="00072ECE" w:rsidP="00072ECE">
      <w:pPr>
        <w:spacing w:before="120" w:after="0" w:line="360" w:lineRule="auto"/>
        <w:jc w:val="center"/>
        <w:rPr>
          <w:sz w:val="24"/>
          <w:szCs w:val="24"/>
        </w:rPr>
      </w:pPr>
      <w:r w:rsidRPr="00FE76E1">
        <w:rPr>
          <w:sz w:val="24"/>
          <w:szCs w:val="24"/>
        </w:rPr>
        <w:t>E-mail: Alexandra.Navrotsky@asu.edu</w:t>
      </w:r>
    </w:p>
    <w:p w14:paraId="62A53807" w14:textId="5D89DF46" w:rsidR="00485CB5" w:rsidRPr="00E6416F" w:rsidRDefault="00485CB5" w:rsidP="00485CB5">
      <w:pPr>
        <w:spacing w:before="240" w:after="0" w:line="360" w:lineRule="auto"/>
        <w:jc w:val="both"/>
        <w:rPr>
          <w:sz w:val="24"/>
          <w:szCs w:val="24"/>
        </w:rPr>
      </w:pPr>
      <w:r w:rsidRPr="00E6416F">
        <w:rPr>
          <w:sz w:val="24"/>
          <w:szCs w:val="24"/>
        </w:rPr>
        <w:t>Materials and Methods</w:t>
      </w:r>
    </w:p>
    <w:p w14:paraId="77634041" w14:textId="0D4759E6" w:rsidR="00485CB5" w:rsidRPr="00EA6255" w:rsidRDefault="00485CB5" w:rsidP="00485CB5">
      <w:pPr>
        <w:spacing w:before="120" w:after="120" w:line="360" w:lineRule="auto"/>
        <w:jc w:val="both"/>
        <w:rPr>
          <w:i/>
          <w:sz w:val="24"/>
          <w:szCs w:val="24"/>
        </w:rPr>
      </w:pPr>
      <w:r w:rsidRPr="00EA6255">
        <w:rPr>
          <w:i/>
          <w:sz w:val="24"/>
          <w:szCs w:val="24"/>
        </w:rPr>
        <w:t>Synthesis</w:t>
      </w:r>
    </w:p>
    <w:p w14:paraId="35A4E40B" w14:textId="44C6A068" w:rsidR="00485CB5" w:rsidRDefault="00485CB5" w:rsidP="00485CB5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Li</w:t>
      </w:r>
      <w:r w:rsidRPr="00E2309E">
        <w:rPr>
          <w:sz w:val="24"/>
          <w:szCs w:val="24"/>
          <w:vertAlign w:val="subscript"/>
        </w:rPr>
        <w:t>1+x</w:t>
      </w:r>
      <w:r>
        <w:rPr>
          <w:sz w:val="24"/>
          <w:szCs w:val="24"/>
        </w:rPr>
        <w:t>Al</w:t>
      </w:r>
      <w:r w:rsidRPr="00E2309E"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>Ti</w:t>
      </w:r>
      <w:r w:rsidRPr="00E2309E">
        <w:rPr>
          <w:sz w:val="24"/>
          <w:szCs w:val="24"/>
          <w:vertAlign w:val="subscript"/>
        </w:rPr>
        <w:t>2-x</w:t>
      </w:r>
      <w:r>
        <w:rPr>
          <w:sz w:val="24"/>
          <w:szCs w:val="24"/>
        </w:rPr>
        <w:t>(PO</w:t>
      </w:r>
      <w:r w:rsidRPr="00E2309E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)</w:t>
      </w:r>
      <w:r w:rsidRPr="00E2309E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powders (LATP,</w:t>
      </w:r>
      <w:r w:rsidRPr="00E2309E">
        <w:rPr>
          <w:sz w:val="24"/>
          <w:szCs w:val="24"/>
        </w:rPr>
        <w:t xml:space="preserve"> 0.1 ≤ x ≤ 0.</w:t>
      </w:r>
      <w:r>
        <w:rPr>
          <w:sz w:val="24"/>
          <w:szCs w:val="24"/>
        </w:rPr>
        <w:t>5</w:t>
      </w:r>
      <w:r w:rsidRPr="00E2309E">
        <w:rPr>
          <w:sz w:val="24"/>
          <w:szCs w:val="24"/>
        </w:rPr>
        <w:t>) were prepared by an aqueous sol</w:t>
      </w:r>
      <w:r>
        <w:rPr>
          <w:sz w:val="24"/>
          <w:szCs w:val="24"/>
        </w:rPr>
        <w:t>ution-based sol-gel method</w:t>
      </w:r>
      <w:r w:rsidR="00791636" w:rsidRPr="00791636">
        <w:rPr>
          <w:sz w:val="24"/>
          <w:szCs w:val="24"/>
        </w:rPr>
        <w:t xml:space="preserve"> </w:t>
      </w:r>
      <w:r w:rsidR="00DC3593">
        <w:rPr>
          <w:color w:val="0000CC"/>
          <w:sz w:val="24"/>
          <w:szCs w:val="24"/>
          <w:vertAlign w:val="superscript"/>
        </w:rPr>
        <w:t>1,</w:t>
      </w:r>
      <w:r w:rsidR="00791636" w:rsidRPr="00791636">
        <w:rPr>
          <w:color w:val="0000CC"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</w:t>
      </w:r>
      <w:r w:rsidRPr="00E2309E">
        <w:rPr>
          <w:sz w:val="24"/>
          <w:szCs w:val="24"/>
        </w:rPr>
        <w:t xml:space="preserve">For the synthesis titanium (IV) </w:t>
      </w:r>
      <w:proofErr w:type="spellStart"/>
      <w:r w:rsidRPr="00E2309E">
        <w:rPr>
          <w:sz w:val="24"/>
          <w:szCs w:val="24"/>
        </w:rPr>
        <w:t>isopropoxide</w:t>
      </w:r>
      <w:proofErr w:type="spellEnd"/>
      <w:r w:rsidRPr="00E2309E">
        <w:rPr>
          <w:sz w:val="24"/>
          <w:szCs w:val="24"/>
        </w:rPr>
        <w:t xml:space="preserve"> (</w:t>
      </w:r>
      <w:proofErr w:type="spellStart"/>
      <w:proofErr w:type="gram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>[</w:t>
      </w:r>
      <w:proofErr w:type="gramEnd"/>
      <w:r>
        <w:rPr>
          <w:sz w:val="24"/>
          <w:szCs w:val="24"/>
        </w:rPr>
        <w:t>OCH(CH</w:t>
      </w:r>
      <w:r w:rsidRPr="00915E18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 w:rsidRPr="00915E1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]</w:t>
      </w:r>
      <w:r w:rsidRPr="00915E18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, </w:t>
      </w:r>
      <w:r w:rsidRPr="00E2309E">
        <w:rPr>
          <w:sz w:val="24"/>
          <w:szCs w:val="24"/>
        </w:rPr>
        <w:t xml:space="preserve">97%, Aldrich) was added into deionized water </w:t>
      </w:r>
      <w:r w:rsidRPr="005D4527">
        <w:rPr>
          <w:sz w:val="24"/>
          <w:szCs w:val="24"/>
        </w:rPr>
        <w:t>while</w:t>
      </w:r>
      <w:r w:rsidRPr="00E2309E">
        <w:rPr>
          <w:sz w:val="24"/>
          <w:szCs w:val="24"/>
        </w:rPr>
        <w:t xml:space="preserve"> stirring. The precipitate </w:t>
      </w:r>
      <w:r>
        <w:rPr>
          <w:sz w:val="24"/>
          <w:szCs w:val="24"/>
        </w:rPr>
        <w:t xml:space="preserve">of titanium hydroxide </w:t>
      </w:r>
      <w:r w:rsidRPr="00E2309E">
        <w:rPr>
          <w:sz w:val="24"/>
          <w:szCs w:val="24"/>
        </w:rPr>
        <w:t>was filtered and washed, and deionized water and nitric acid (65%, Aldrich) were then added to it. When a clear TiO</w:t>
      </w:r>
      <w:r w:rsidRPr="00E2309E">
        <w:rPr>
          <w:sz w:val="24"/>
          <w:szCs w:val="24"/>
          <w:vertAlign w:val="superscript"/>
        </w:rPr>
        <w:t>2+</w:t>
      </w:r>
      <w:r w:rsidRPr="00E2309E">
        <w:rPr>
          <w:sz w:val="24"/>
          <w:szCs w:val="24"/>
        </w:rPr>
        <w:t xml:space="preserve"> nitrate solution was formed, citric acid (double molar excess) was added to stabilize the solutio</w:t>
      </w:r>
      <w:r>
        <w:rPr>
          <w:sz w:val="24"/>
          <w:szCs w:val="24"/>
        </w:rPr>
        <w:t xml:space="preserve">n. </w:t>
      </w:r>
      <w:r w:rsidRPr="00E2309E">
        <w:rPr>
          <w:sz w:val="24"/>
          <w:szCs w:val="24"/>
        </w:rPr>
        <w:t xml:space="preserve">Stoichiometric amounts of </w:t>
      </w:r>
      <w:r>
        <w:rPr>
          <w:sz w:val="24"/>
          <w:szCs w:val="24"/>
        </w:rPr>
        <w:t>lithium nitrate</w:t>
      </w:r>
      <w:r w:rsidRPr="00E2309E">
        <w:rPr>
          <w:sz w:val="24"/>
          <w:szCs w:val="24"/>
        </w:rPr>
        <w:t xml:space="preserve"> (</w:t>
      </w:r>
      <w:r w:rsidRPr="00AD7099">
        <w:rPr>
          <w:sz w:val="24"/>
          <w:szCs w:val="24"/>
        </w:rPr>
        <w:t>LiNO</w:t>
      </w:r>
      <w:r w:rsidRPr="00AD7099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, </w:t>
      </w:r>
      <w:r w:rsidRPr="00E2309E">
        <w:rPr>
          <w:sz w:val="24"/>
          <w:szCs w:val="24"/>
        </w:rPr>
        <w:t>99</w:t>
      </w:r>
      <w:r w:rsidR="00F26D87">
        <w:rPr>
          <w:sz w:val="24"/>
          <w:szCs w:val="24"/>
        </w:rPr>
        <w:t xml:space="preserve"> </w:t>
      </w:r>
      <w:r w:rsidRPr="00E2309E">
        <w:rPr>
          <w:sz w:val="24"/>
          <w:szCs w:val="24"/>
        </w:rPr>
        <w:t xml:space="preserve">%, Alfa </w:t>
      </w:r>
      <w:proofErr w:type="spellStart"/>
      <w:r w:rsidRPr="00E2309E">
        <w:rPr>
          <w:sz w:val="24"/>
          <w:szCs w:val="24"/>
        </w:rPr>
        <w:t>Aesar</w:t>
      </w:r>
      <w:proofErr w:type="spellEnd"/>
      <w:r w:rsidRPr="00E2309E">
        <w:rPr>
          <w:sz w:val="24"/>
          <w:szCs w:val="24"/>
        </w:rPr>
        <w:t xml:space="preserve">) and </w:t>
      </w:r>
      <w:r>
        <w:rPr>
          <w:sz w:val="24"/>
          <w:szCs w:val="24"/>
        </w:rPr>
        <w:t>a</w:t>
      </w:r>
      <w:r w:rsidRPr="00BF69DC">
        <w:rPr>
          <w:sz w:val="24"/>
          <w:szCs w:val="24"/>
        </w:rPr>
        <w:t>luminum nitrate nonahydrate</w:t>
      </w:r>
      <w:r>
        <w:rPr>
          <w:sz w:val="24"/>
          <w:szCs w:val="24"/>
        </w:rPr>
        <w:t xml:space="preserve"> </w:t>
      </w:r>
      <w:r w:rsidRPr="00E2309E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Al(</w:t>
      </w:r>
      <w:proofErr w:type="gramEnd"/>
      <w:r>
        <w:rPr>
          <w:sz w:val="24"/>
          <w:szCs w:val="24"/>
        </w:rPr>
        <w:t>NO</w:t>
      </w:r>
      <w:r w:rsidRPr="00BF69DC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 w:rsidRPr="00BF69DC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∙9H</w:t>
      </w:r>
      <w:r w:rsidRPr="00BF69D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O, </w:t>
      </w:r>
      <w:r w:rsidRPr="00E2309E">
        <w:rPr>
          <w:sz w:val="24"/>
          <w:szCs w:val="24"/>
        </w:rPr>
        <w:t>99</w:t>
      </w:r>
      <w:r w:rsidR="00F26D87">
        <w:rPr>
          <w:sz w:val="24"/>
          <w:szCs w:val="24"/>
        </w:rPr>
        <w:t xml:space="preserve"> </w:t>
      </w:r>
      <w:r w:rsidRPr="00E2309E">
        <w:rPr>
          <w:sz w:val="24"/>
          <w:szCs w:val="24"/>
        </w:rPr>
        <w:t xml:space="preserve">%, Alfa </w:t>
      </w:r>
      <w:proofErr w:type="spellStart"/>
      <w:r w:rsidRPr="00E2309E">
        <w:rPr>
          <w:sz w:val="24"/>
          <w:szCs w:val="24"/>
        </w:rPr>
        <w:t>Aesar</w:t>
      </w:r>
      <w:proofErr w:type="spellEnd"/>
      <w:r w:rsidRPr="00E2309E">
        <w:rPr>
          <w:sz w:val="24"/>
          <w:szCs w:val="24"/>
        </w:rPr>
        <w:t>) were weighed and added into the TiO</w:t>
      </w:r>
      <w:r w:rsidRPr="009509B8">
        <w:rPr>
          <w:sz w:val="24"/>
          <w:szCs w:val="24"/>
          <w:vertAlign w:val="superscript"/>
        </w:rPr>
        <w:t>2+</w:t>
      </w:r>
      <w:r w:rsidRPr="00E2309E">
        <w:rPr>
          <w:sz w:val="24"/>
          <w:szCs w:val="24"/>
        </w:rPr>
        <w:t xml:space="preserve"> nitrate solution while stirring. After </w:t>
      </w:r>
      <w:r>
        <w:rPr>
          <w:sz w:val="24"/>
          <w:szCs w:val="24"/>
        </w:rPr>
        <w:t>dissolution of both</w:t>
      </w:r>
      <w:r w:rsidRPr="00E2309E">
        <w:rPr>
          <w:sz w:val="24"/>
          <w:szCs w:val="24"/>
        </w:rPr>
        <w:t xml:space="preserve"> salts, a corresponding amount of </w:t>
      </w:r>
      <w:r>
        <w:rPr>
          <w:sz w:val="24"/>
          <w:szCs w:val="24"/>
        </w:rPr>
        <w:t xml:space="preserve">ammonium dihydrogen phosphate </w:t>
      </w:r>
      <w:r w:rsidRPr="00E2309E">
        <w:rPr>
          <w:sz w:val="24"/>
          <w:szCs w:val="24"/>
        </w:rPr>
        <w:t>(</w:t>
      </w:r>
      <w:r>
        <w:rPr>
          <w:sz w:val="24"/>
          <w:szCs w:val="24"/>
        </w:rPr>
        <w:t>NH</w:t>
      </w:r>
      <w:r w:rsidRPr="00D5440A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H</w:t>
      </w:r>
      <w:r w:rsidRPr="00D5440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PO</w:t>
      </w:r>
      <w:r w:rsidRPr="00D5440A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 xml:space="preserve">, </w:t>
      </w:r>
      <w:r w:rsidRPr="00E2309E">
        <w:rPr>
          <w:sz w:val="24"/>
          <w:szCs w:val="24"/>
        </w:rPr>
        <w:t>99</w:t>
      </w:r>
      <w:r w:rsidR="00F26D87">
        <w:rPr>
          <w:sz w:val="24"/>
          <w:szCs w:val="24"/>
        </w:rPr>
        <w:t xml:space="preserve"> </w:t>
      </w:r>
      <w:r w:rsidRPr="00E2309E">
        <w:rPr>
          <w:sz w:val="24"/>
          <w:szCs w:val="24"/>
        </w:rPr>
        <w:t xml:space="preserve">%, Merck) was added to the solution </w:t>
      </w:r>
      <w:r>
        <w:rPr>
          <w:sz w:val="24"/>
          <w:szCs w:val="24"/>
        </w:rPr>
        <w:t>leading to</w:t>
      </w:r>
      <w:r w:rsidRPr="00E2309E">
        <w:rPr>
          <w:sz w:val="24"/>
          <w:szCs w:val="24"/>
        </w:rPr>
        <w:t xml:space="preserve"> a sol </w:t>
      </w:r>
      <w:r>
        <w:rPr>
          <w:sz w:val="24"/>
          <w:szCs w:val="24"/>
        </w:rPr>
        <w:t>formation</w:t>
      </w:r>
      <w:r w:rsidRPr="00E2309E">
        <w:rPr>
          <w:sz w:val="24"/>
          <w:szCs w:val="24"/>
        </w:rPr>
        <w:t xml:space="preserve">. After 1 h, a stiff gel was spontaneously formed. The gel was dried at </w:t>
      </w:r>
      <w:r>
        <w:rPr>
          <w:sz w:val="24"/>
          <w:szCs w:val="24"/>
        </w:rPr>
        <w:t>353</w:t>
      </w:r>
      <w:r w:rsidRPr="00E2309E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Pr="00E2309E">
        <w:rPr>
          <w:sz w:val="24"/>
          <w:szCs w:val="24"/>
        </w:rPr>
        <w:t xml:space="preserve"> for 24 h. The dried gel was then calcined at </w:t>
      </w:r>
      <w:r>
        <w:rPr>
          <w:sz w:val="24"/>
          <w:szCs w:val="24"/>
        </w:rPr>
        <w:t>873 K</w:t>
      </w:r>
      <w:r w:rsidRPr="00E2309E">
        <w:rPr>
          <w:sz w:val="24"/>
          <w:szCs w:val="24"/>
        </w:rPr>
        <w:t xml:space="preserve"> for 3 h. The calcined powder was milled in ethanol with zirconia balls on a milling bench for 48 h. After drying, the powder was p</w:t>
      </w:r>
      <w:r>
        <w:rPr>
          <w:sz w:val="24"/>
          <w:szCs w:val="24"/>
        </w:rPr>
        <w:t>laced</w:t>
      </w:r>
      <w:r w:rsidRPr="00E2309E">
        <w:rPr>
          <w:sz w:val="24"/>
          <w:szCs w:val="24"/>
        </w:rPr>
        <w:t xml:space="preserve"> into a cylindrical pressing mold with a diameter of 13 mm and pressed </w:t>
      </w:r>
      <w:r>
        <w:rPr>
          <w:sz w:val="24"/>
          <w:szCs w:val="24"/>
        </w:rPr>
        <w:t>under</w:t>
      </w:r>
      <w:r w:rsidRPr="00E2309E">
        <w:rPr>
          <w:sz w:val="24"/>
          <w:szCs w:val="24"/>
        </w:rPr>
        <w:t xml:space="preserve"> uniaxial pressure of 100 MPa. The pressed pellets were sintered for 5 h at </w:t>
      </w:r>
      <w:r>
        <w:rPr>
          <w:sz w:val="24"/>
          <w:szCs w:val="24"/>
        </w:rPr>
        <w:t>1323, 1273, 1223</w:t>
      </w:r>
      <w:r w:rsidRPr="00E2309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1173, and 1148 </w:t>
      </w:r>
      <w:r w:rsidRPr="00B00AA1">
        <w:rPr>
          <w:sz w:val="24"/>
          <w:szCs w:val="24"/>
        </w:rPr>
        <w:t>K</w:t>
      </w:r>
      <w:r>
        <w:rPr>
          <w:sz w:val="24"/>
          <w:szCs w:val="24"/>
        </w:rPr>
        <w:t xml:space="preserve"> for </w:t>
      </w:r>
      <w:r w:rsidRPr="00164308">
        <w:rPr>
          <w:i/>
          <w:sz w:val="24"/>
          <w:szCs w:val="24"/>
        </w:rPr>
        <w:t>x</w:t>
      </w:r>
      <w:r>
        <w:rPr>
          <w:sz w:val="24"/>
          <w:szCs w:val="24"/>
        </w:rPr>
        <w:t xml:space="preserve"> = 0.1, 0.2, 0.3, 0.4, and 0.5</w:t>
      </w:r>
      <w:r w:rsidR="000B1512">
        <w:rPr>
          <w:sz w:val="24"/>
          <w:szCs w:val="24"/>
        </w:rPr>
        <w:t>,</w:t>
      </w:r>
      <w:r w:rsidRPr="00E2309E">
        <w:rPr>
          <w:sz w:val="24"/>
          <w:szCs w:val="24"/>
        </w:rPr>
        <w:t xml:space="preserve"> respectively</w:t>
      </w:r>
      <w:r>
        <w:rPr>
          <w:sz w:val="24"/>
          <w:szCs w:val="24"/>
        </w:rPr>
        <w:t>. Additionally, the limiting composition with x = 0 (</w:t>
      </w:r>
      <w:proofErr w:type="gramStart"/>
      <w:r>
        <w:rPr>
          <w:sz w:val="24"/>
          <w:szCs w:val="24"/>
        </w:rPr>
        <w:t>LiTi</w:t>
      </w:r>
      <w:r w:rsidRPr="001B6FB4">
        <w:rPr>
          <w:sz w:val="24"/>
          <w:szCs w:val="24"/>
          <w:vertAlign w:val="subscript"/>
        </w:rPr>
        <w:t>2</w:t>
      </w:r>
      <w:r w:rsidRPr="001B6FB4">
        <w:rPr>
          <w:sz w:val="24"/>
          <w:szCs w:val="24"/>
        </w:rPr>
        <w:t>(</w:t>
      </w:r>
      <w:proofErr w:type="gramEnd"/>
      <w:r w:rsidRPr="001B6FB4">
        <w:rPr>
          <w:sz w:val="24"/>
          <w:szCs w:val="24"/>
        </w:rPr>
        <w:t>PO</w:t>
      </w:r>
      <w:r w:rsidRPr="001B6FB4">
        <w:rPr>
          <w:sz w:val="24"/>
          <w:szCs w:val="24"/>
          <w:vertAlign w:val="subscript"/>
        </w:rPr>
        <w:t>4</w:t>
      </w:r>
      <w:r w:rsidRPr="001B6FB4">
        <w:rPr>
          <w:sz w:val="24"/>
          <w:szCs w:val="24"/>
        </w:rPr>
        <w:t>)</w:t>
      </w:r>
      <w:r w:rsidRPr="001B6FB4">
        <w:rPr>
          <w:sz w:val="24"/>
          <w:szCs w:val="24"/>
          <w:vertAlign w:val="subscript"/>
        </w:rPr>
        <w:t>3</w:t>
      </w:r>
      <w:r w:rsidRPr="001B6FB4">
        <w:rPr>
          <w:sz w:val="24"/>
          <w:szCs w:val="24"/>
        </w:rPr>
        <w:t>) was synthesized using conv</w:t>
      </w:r>
      <w:r>
        <w:rPr>
          <w:sz w:val="24"/>
          <w:szCs w:val="24"/>
        </w:rPr>
        <w:t>entional solid state reaction. The stoichiometric amounts of Li</w:t>
      </w:r>
      <w:r w:rsidRPr="001B6FB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CO</w:t>
      </w:r>
      <w:r w:rsidRPr="001B6FB4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(VWR International, Belgium, 99</w:t>
      </w:r>
      <w:r w:rsidR="00F26D87">
        <w:rPr>
          <w:sz w:val="24"/>
          <w:szCs w:val="24"/>
        </w:rPr>
        <w:t xml:space="preserve"> </w:t>
      </w:r>
      <w:r>
        <w:rPr>
          <w:sz w:val="24"/>
          <w:szCs w:val="24"/>
        </w:rPr>
        <w:t>%), TiO</w:t>
      </w:r>
      <w:r w:rsidRPr="001B6FB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(VWR International, Belgium, 99</w:t>
      </w:r>
      <w:r w:rsidR="00F26D87">
        <w:rPr>
          <w:sz w:val="24"/>
          <w:szCs w:val="24"/>
        </w:rPr>
        <w:t xml:space="preserve"> </w:t>
      </w:r>
      <w:r>
        <w:rPr>
          <w:sz w:val="24"/>
          <w:szCs w:val="24"/>
        </w:rPr>
        <w:t>%) and NH</w:t>
      </w:r>
      <w:r w:rsidRPr="001B6FB4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H</w:t>
      </w:r>
      <w:r w:rsidRPr="001B6FB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PO</w:t>
      </w:r>
      <w:r w:rsidRPr="001B6FB4">
        <w:rPr>
          <w:sz w:val="24"/>
          <w:szCs w:val="24"/>
          <w:vertAlign w:val="subscript"/>
        </w:rPr>
        <w:t>4</w:t>
      </w:r>
      <w:r w:rsidRPr="001B6FB4">
        <w:rPr>
          <w:sz w:val="24"/>
          <w:szCs w:val="24"/>
        </w:rPr>
        <w:t>, plus an excess of 20 wt</w:t>
      </w:r>
      <w:r w:rsidR="000B1512">
        <w:rPr>
          <w:sz w:val="24"/>
          <w:szCs w:val="24"/>
        </w:rPr>
        <w:t>.</w:t>
      </w:r>
      <w:r w:rsidRPr="001B6FB4">
        <w:rPr>
          <w:sz w:val="24"/>
          <w:szCs w:val="24"/>
        </w:rPr>
        <w:t>% Li</w:t>
      </w:r>
      <w:r>
        <w:rPr>
          <w:sz w:val="24"/>
          <w:szCs w:val="24"/>
        </w:rPr>
        <w:t xml:space="preserve"> to compensate its volatility</w:t>
      </w:r>
      <w:r w:rsidRPr="001B6FB4">
        <w:rPr>
          <w:sz w:val="24"/>
          <w:szCs w:val="24"/>
        </w:rPr>
        <w:t>, were mixed and homo</w:t>
      </w:r>
      <w:r>
        <w:rPr>
          <w:sz w:val="24"/>
          <w:szCs w:val="24"/>
        </w:rPr>
        <w:t xml:space="preserve">genized in an agate mortar. The </w:t>
      </w:r>
      <w:r w:rsidRPr="001B6FB4">
        <w:rPr>
          <w:sz w:val="24"/>
          <w:szCs w:val="24"/>
        </w:rPr>
        <w:t>TiO</w:t>
      </w:r>
      <w:r w:rsidRPr="001B6FB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was </w:t>
      </w:r>
      <w:r w:rsidRPr="001B6FB4">
        <w:rPr>
          <w:sz w:val="24"/>
          <w:szCs w:val="24"/>
        </w:rPr>
        <w:t>preli</w:t>
      </w:r>
      <w:r>
        <w:rPr>
          <w:sz w:val="24"/>
          <w:szCs w:val="24"/>
        </w:rPr>
        <w:t>minary dried at 873 K for 6 h. Then, the reaction mixture</w:t>
      </w:r>
      <w:r w:rsidRPr="001B6FB4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as transferred into a Pt crucible and slowly heated </w:t>
      </w:r>
      <w:r w:rsidRPr="001B6FB4">
        <w:rPr>
          <w:sz w:val="24"/>
          <w:szCs w:val="24"/>
        </w:rPr>
        <w:t>up with</w:t>
      </w:r>
      <w:r>
        <w:rPr>
          <w:sz w:val="24"/>
          <w:szCs w:val="24"/>
        </w:rPr>
        <w:t xml:space="preserve"> heating rate 120 </w:t>
      </w:r>
      <w:r w:rsidR="000B1512">
        <w:rPr>
          <w:sz w:val="24"/>
          <w:szCs w:val="24"/>
        </w:rPr>
        <w:t>K</w:t>
      </w:r>
      <w:r>
        <w:rPr>
          <w:sz w:val="24"/>
          <w:szCs w:val="24"/>
        </w:rPr>
        <w:t>/h to 1273 K and kept</w:t>
      </w:r>
      <w:r w:rsidRPr="001B6FB4">
        <w:rPr>
          <w:sz w:val="24"/>
          <w:szCs w:val="24"/>
        </w:rPr>
        <w:t xml:space="preserve"> there </w:t>
      </w:r>
      <w:r>
        <w:rPr>
          <w:sz w:val="24"/>
          <w:szCs w:val="24"/>
        </w:rPr>
        <w:t xml:space="preserve">for 6 h in air and cooled down to room temperature with 300 </w:t>
      </w:r>
      <w:r w:rsidR="000B1512">
        <w:rPr>
          <w:sz w:val="24"/>
          <w:szCs w:val="24"/>
        </w:rPr>
        <w:t>K</w:t>
      </w:r>
      <w:r w:rsidRPr="001B6FB4">
        <w:rPr>
          <w:sz w:val="24"/>
          <w:szCs w:val="24"/>
        </w:rPr>
        <w:t>/h. After this calcination step, the s</w:t>
      </w:r>
      <w:r>
        <w:rPr>
          <w:sz w:val="24"/>
          <w:szCs w:val="24"/>
        </w:rPr>
        <w:t xml:space="preserve">ample was crushed, homogenized in a mortar and pressed to a pellet. During a second heat treatment, the pellet was sintered at 1273 K for 720 h in a corundum crucible on a powder bed </w:t>
      </w:r>
      <w:r w:rsidRPr="001B6FB4">
        <w:rPr>
          <w:sz w:val="24"/>
          <w:szCs w:val="24"/>
        </w:rPr>
        <w:t>of LATP.</w:t>
      </w:r>
    </w:p>
    <w:p w14:paraId="11CD392A" w14:textId="05507B64" w:rsidR="00485CB5" w:rsidRPr="00EA6255" w:rsidRDefault="00485CB5" w:rsidP="00485CB5">
      <w:pPr>
        <w:spacing w:before="120" w:after="120" w:line="360" w:lineRule="auto"/>
        <w:jc w:val="both"/>
        <w:rPr>
          <w:i/>
          <w:sz w:val="24"/>
          <w:szCs w:val="24"/>
        </w:rPr>
      </w:pPr>
      <w:r w:rsidRPr="00EA6255">
        <w:rPr>
          <w:i/>
          <w:sz w:val="24"/>
          <w:szCs w:val="24"/>
        </w:rPr>
        <w:t>Powder X-ray Diffraction and Optical Emission Spectroscopy</w:t>
      </w:r>
    </w:p>
    <w:p w14:paraId="0916B875" w14:textId="5107FB8D" w:rsidR="00485CB5" w:rsidRPr="00E2309E" w:rsidRDefault="00485CB5" w:rsidP="00485CB5">
      <w:pPr>
        <w:spacing w:after="0" w:line="360" w:lineRule="auto"/>
        <w:ind w:firstLine="567"/>
        <w:jc w:val="both"/>
        <w:rPr>
          <w:sz w:val="24"/>
          <w:szCs w:val="24"/>
        </w:rPr>
      </w:pPr>
      <w:r w:rsidRPr="00E2309E">
        <w:rPr>
          <w:sz w:val="24"/>
          <w:szCs w:val="24"/>
        </w:rPr>
        <w:t>The phase purity and crystal</w:t>
      </w:r>
      <w:r>
        <w:rPr>
          <w:sz w:val="24"/>
          <w:szCs w:val="24"/>
        </w:rPr>
        <w:t xml:space="preserve"> structure of the sintered LATP</w:t>
      </w:r>
      <w:r w:rsidRPr="00E2309E">
        <w:rPr>
          <w:sz w:val="24"/>
          <w:szCs w:val="24"/>
        </w:rPr>
        <w:t xml:space="preserve"> powders was characterized by </w:t>
      </w:r>
      <w:r>
        <w:rPr>
          <w:sz w:val="24"/>
          <w:szCs w:val="24"/>
        </w:rPr>
        <w:t xml:space="preserve">powder </w:t>
      </w:r>
      <w:r w:rsidRPr="00E2309E">
        <w:rPr>
          <w:sz w:val="24"/>
          <w:szCs w:val="24"/>
        </w:rPr>
        <w:t>X-ray diffraction (</w:t>
      </w:r>
      <w:r>
        <w:rPr>
          <w:sz w:val="24"/>
          <w:szCs w:val="24"/>
        </w:rPr>
        <w:t>P</w:t>
      </w:r>
      <w:r w:rsidRPr="00E2309E">
        <w:rPr>
          <w:sz w:val="24"/>
          <w:szCs w:val="24"/>
        </w:rPr>
        <w:t xml:space="preserve">XRD) using </w:t>
      </w:r>
      <w:r w:rsidR="00F26D87">
        <w:rPr>
          <w:sz w:val="24"/>
          <w:szCs w:val="24"/>
        </w:rPr>
        <w:t xml:space="preserve">a </w:t>
      </w:r>
      <w:r w:rsidRPr="00E2309E">
        <w:rPr>
          <w:sz w:val="24"/>
          <w:szCs w:val="24"/>
        </w:rPr>
        <w:t>Bruker D4 Endeavor diffractometer with Cu-</w:t>
      </w:r>
      <w:r w:rsidRPr="00A132F1">
        <w:rPr>
          <w:i/>
          <w:sz w:val="24"/>
          <w:szCs w:val="24"/>
        </w:rPr>
        <w:t>K</w:t>
      </w:r>
      <w:r w:rsidRPr="00E2309E">
        <w:rPr>
          <w:sz w:val="24"/>
          <w:szCs w:val="24"/>
        </w:rPr>
        <w:t xml:space="preserve">α radiation </w:t>
      </w:r>
      <w:r w:rsidR="002D1341" w:rsidRPr="002502D4">
        <w:rPr>
          <w:sz w:val="24"/>
          <w:szCs w:val="24"/>
        </w:rPr>
        <w:t xml:space="preserve">using </w:t>
      </w:r>
      <w:r w:rsidRPr="002502D4">
        <w:rPr>
          <w:sz w:val="24"/>
          <w:szCs w:val="24"/>
        </w:rPr>
        <w:t>a step size</w:t>
      </w:r>
      <w:r w:rsidRPr="00E2309E">
        <w:rPr>
          <w:sz w:val="24"/>
          <w:szCs w:val="24"/>
        </w:rPr>
        <w:t xml:space="preserve"> of 0.02</w:t>
      </w:r>
      <w:r w:rsidR="00F26D87">
        <w:rPr>
          <w:sz w:val="24"/>
          <w:szCs w:val="24"/>
        </w:rPr>
        <w:t xml:space="preserve"> </w:t>
      </w:r>
      <w:r w:rsidRPr="00E2309E">
        <w:rPr>
          <w:sz w:val="24"/>
          <w:szCs w:val="24"/>
        </w:rPr>
        <w:t>° at room temperature.</w:t>
      </w:r>
      <w:r>
        <w:rPr>
          <w:sz w:val="24"/>
          <w:szCs w:val="24"/>
        </w:rPr>
        <w:t xml:space="preserve"> </w:t>
      </w:r>
      <w:r w:rsidRPr="00FF4155">
        <w:rPr>
          <w:sz w:val="24"/>
          <w:szCs w:val="24"/>
        </w:rPr>
        <w:t xml:space="preserve">The Rietveld refinements were performed by </w:t>
      </w:r>
      <w:proofErr w:type="spellStart"/>
      <w:r>
        <w:rPr>
          <w:sz w:val="24"/>
          <w:szCs w:val="24"/>
        </w:rPr>
        <w:t>WinCSD</w:t>
      </w:r>
      <w:proofErr w:type="spellEnd"/>
      <w:r>
        <w:rPr>
          <w:sz w:val="24"/>
          <w:szCs w:val="24"/>
        </w:rPr>
        <w:t xml:space="preserve"> software package</w:t>
      </w:r>
      <w:r w:rsidR="007D4860" w:rsidRPr="00D723A5">
        <w:rPr>
          <w:sz w:val="24"/>
          <w:szCs w:val="24"/>
        </w:rPr>
        <w:t xml:space="preserve"> </w:t>
      </w:r>
      <w:r w:rsidR="007D4860" w:rsidRPr="007D4860">
        <w:rPr>
          <w:color w:val="0000CC"/>
          <w:sz w:val="24"/>
          <w:szCs w:val="24"/>
          <w:vertAlign w:val="superscript"/>
        </w:rPr>
        <w:t>3</w:t>
      </w:r>
      <w:r w:rsidRPr="00FF4155">
        <w:rPr>
          <w:sz w:val="24"/>
          <w:szCs w:val="24"/>
        </w:rPr>
        <w:t>.</w:t>
      </w:r>
      <w:r>
        <w:rPr>
          <w:sz w:val="24"/>
          <w:szCs w:val="24"/>
        </w:rPr>
        <w:t xml:space="preserve"> The visualization of the crystal structure was done by VESTA</w:t>
      </w:r>
      <w:r w:rsidR="00B41E6C" w:rsidRPr="00801B6B">
        <w:rPr>
          <w:sz w:val="24"/>
          <w:szCs w:val="24"/>
        </w:rPr>
        <w:t xml:space="preserve"> </w:t>
      </w:r>
      <w:r w:rsidR="00B41E6C" w:rsidRPr="00B41E6C">
        <w:rPr>
          <w:color w:val="0000CC"/>
          <w:sz w:val="24"/>
          <w:szCs w:val="24"/>
          <w:vertAlign w:val="superscript"/>
        </w:rPr>
        <w:t>4</w:t>
      </w:r>
      <w:r>
        <w:rPr>
          <w:sz w:val="24"/>
          <w:szCs w:val="24"/>
        </w:rPr>
        <w:t>.</w:t>
      </w:r>
      <w:r w:rsidR="002D1341">
        <w:rPr>
          <w:sz w:val="24"/>
          <w:szCs w:val="24"/>
        </w:rPr>
        <w:t xml:space="preserve"> </w:t>
      </w:r>
      <w:r w:rsidR="002D1341" w:rsidRPr="002502D4">
        <w:rPr>
          <w:sz w:val="24"/>
          <w:szCs w:val="24"/>
        </w:rPr>
        <w:t xml:space="preserve">PXRD patterns of all samples from this study are presented in </w:t>
      </w:r>
      <w:r w:rsidR="002D1341" w:rsidRPr="002502D4">
        <w:rPr>
          <w:color w:val="0000FF"/>
          <w:sz w:val="24"/>
          <w:szCs w:val="24"/>
        </w:rPr>
        <w:t>Fig. S1</w:t>
      </w:r>
      <w:r w:rsidR="002D1341">
        <w:rPr>
          <w:sz w:val="24"/>
          <w:szCs w:val="24"/>
        </w:rPr>
        <w:t>.</w:t>
      </w:r>
    </w:p>
    <w:p w14:paraId="47AF1CD2" w14:textId="255F64FF" w:rsidR="00485CB5" w:rsidRDefault="00485CB5" w:rsidP="00485CB5">
      <w:pPr>
        <w:spacing w:after="0" w:line="360" w:lineRule="auto"/>
        <w:ind w:firstLine="567"/>
        <w:jc w:val="both"/>
        <w:rPr>
          <w:sz w:val="24"/>
          <w:szCs w:val="24"/>
        </w:rPr>
      </w:pPr>
      <w:r w:rsidRPr="00E2309E">
        <w:rPr>
          <w:sz w:val="24"/>
          <w:szCs w:val="24"/>
        </w:rPr>
        <w:t>Inductively coupled plasma optical emission spectroscopy (ICP-OES) (Thermo Elemental, IRIS Intrepid) was used to determine the elemental compo</w:t>
      </w:r>
      <w:r>
        <w:rPr>
          <w:sz w:val="24"/>
          <w:szCs w:val="24"/>
        </w:rPr>
        <w:t>sition of the sintered LATP</w:t>
      </w:r>
      <w:r w:rsidRPr="00E2309E">
        <w:rPr>
          <w:sz w:val="24"/>
          <w:szCs w:val="24"/>
        </w:rPr>
        <w:t xml:space="preserve"> samples</w:t>
      </w:r>
      <w:r>
        <w:rPr>
          <w:sz w:val="24"/>
          <w:szCs w:val="24"/>
        </w:rPr>
        <w:t>. For each experiment 10-30 mg of the LATP</w:t>
      </w:r>
      <w:r w:rsidRPr="00E2309E">
        <w:rPr>
          <w:sz w:val="24"/>
          <w:szCs w:val="24"/>
        </w:rPr>
        <w:t xml:space="preserve"> powders were mixed with 0.25 g sodium tetraborate and thermally treated at </w:t>
      </w:r>
      <w:r>
        <w:rPr>
          <w:sz w:val="24"/>
          <w:szCs w:val="24"/>
        </w:rPr>
        <w:t xml:space="preserve">1273 K </w:t>
      </w:r>
      <w:r w:rsidRPr="00E2309E">
        <w:rPr>
          <w:sz w:val="24"/>
          <w:szCs w:val="24"/>
        </w:rPr>
        <w:t>in the muffle furna</w:t>
      </w:r>
      <w:r>
        <w:rPr>
          <w:sz w:val="24"/>
          <w:szCs w:val="24"/>
        </w:rPr>
        <w:t xml:space="preserve">ce for </w:t>
      </w:r>
      <w:r w:rsidR="0018472B">
        <w:rPr>
          <w:sz w:val="24"/>
          <w:szCs w:val="24"/>
        </w:rPr>
        <w:t>0.5 h</w:t>
      </w:r>
      <w:r w:rsidRPr="00E2309E">
        <w:rPr>
          <w:sz w:val="24"/>
          <w:szCs w:val="24"/>
        </w:rPr>
        <w:t>. The melts were dissolved in 30 mL HCl (5%) with the addition of 5 mL H</w:t>
      </w:r>
      <w:r w:rsidRPr="009509B8">
        <w:rPr>
          <w:sz w:val="24"/>
          <w:szCs w:val="24"/>
          <w:vertAlign w:val="subscript"/>
        </w:rPr>
        <w:t>2</w:t>
      </w:r>
      <w:r w:rsidRPr="00E2309E">
        <w:rPr>
          <w:sz w:val="24"/>
          <w:szCs w:val="24"/>
        </w:rPr>
        <w:t>O</w:t>
      </w:r>
      <w:r w:rsidRPr="009509B8">
        <w:rPr>
          <w:sz w:val="24"/>
          <w:szCs w:val="24"/>
          <w:vertAlign w:val="subscript"/>
        </w:rPr>
        <w:t>2</w:t>
      </w:r>
      <w:r w:rsidRPr="00E2309E">
        <w:rPr>
          <w:sz w:val="24"/>
          <w:szCs w:val="24"/>
        </w:rPr>
        <w:t>. The obtained solution was diluted to 50 mL by using distilled water. The experimental error for the ICP-OES analysis is 3</w:t>
      </w:r>
      <w:r w:rsidR="00F26D87">
        <w:rPr>
          <w:sz w:val="24"/>
          <w:szCs w:val="24"/>
        </w:rPr>
        <w:t xml:space="preserve"> </w:t>
      </w:r>
      <w:r w:rsidRPr="00E2309E">
        <w:rPr>
          <w:sz w:val="24"/>
          <w:szCs w:val="24"/>
        </w:rPr>
        <w:t>% of the detected concentration.</w:t>
      </w:r>
    </w:p>
    <w:p w14:paraId="23F18699" w14:textId="7B9A4C98" w:rsidR="00485CB5" w:rsidRDefault="00485CB5" w:rsidP="00485CB5">
      <w:pPr>
        <w:spacing w:before="120" w:after="120" w:line="360" w:lineRule="auto"/>
        <w:jc w:val="both"/>
        <w:rPr>
          <w:sz w:val="24"/>
          <w:szCs w:val="24"/>
        </w:rPr>
      </w:pPr>
      <w:r w:rsidRPr="00EA6255">
        <w:rPr>
          <w:i/>
          <w:sz w:val="24"/>
          <w:szCs w:val="24"/>
        </w:rPr>
        <w:t>High-Temperature Oxide Melt Solution Calorimetry</w:t>
      </w:r>
    </w:p>
    <w:p w14:paraId="03C55B0D" w14:textId="5A992482" w:rsidR="00485CB5" w:rsidRPr="00A422AB" w:rsidRDefault="00485CB5" w:rsidP="00485CB5">
      <w:pPr>
        <w:spacing w:after="0"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To perform h</w:t>
      </w:r>
      <w:r w:rsidRPr="00EB0524">
        <w:rPr>
          <w:sz w:val="24"/>
          <w:szCs w:val="24"/>
        </w:rPr>
        <w:t>igh-</w:t>
      </w:r>
      <w:r>
        <w:rPr>
          <w:sz w:val="24"/>
          <w:szCs w:val="24"/>
        </w:rPr>
        <w:t>t</w:t>
      </w:r>
      <w:r w:rsidRPr="00EB0524">
        <w:rPr>
          <w:sz w:val="24"/>
          <w:szCs w:val="24"/>
        </w:rPr>
        <w:t xml:space="preserve">emperature </w:t>
      </w:r>
      <w:r>
        <w:rPr>
          <w:sz w:val="24"/>
          <w:szCs w:val="24"/>
        </w:rPr>
        <w:t>o</w:t>
      </w:r>
      <w:r w:rsidRPr="00EB0524">
        <w:rPr>
          <w:sz w:val="24"/>
          <w:szCs w:val="24"/>
        </w:rPr>
        <w:t xml:space="preserve">xide </w:t>
      </w:r>
      <w:r>
        <w:rPr>
          <w:sz w:val="24"/>
          <w:szCs w:val="24"/>
        </w:rPr>
        <w:t>m</w:t>
      </w:r>
      <w:r w:rsidRPr="00EB0524">
        <w:rPr>
          <w:sz w:val="24"/>
          <w:szCs w:val="24"/>
        </w:rPr>
        <w:t xml:space="preserve">elt </w:t>
      </w:r>
      <w:r>
        <w:rPr>
          <w:sz w:val="24"/>
          <w:szCs w:val="24"/>
        </w:rPr>
        <w:t>s</w:t>
      </w:r>
      <w:r w:rsidRPr="00EB0524">
        <w:rPr>
          <w:sz w:val="24"/>
          <w:szCs w:val="24"/>
        </w:rPr>
        <w:t xml:space="preserve">olution </w:t>
      </w:r>
      <w:r>
        <w:rPr>
          <w:sz w:val="24"/>
          <w:szCs w:val="24"/>
        </w:rPr>
        <w:t>c</w:t>
      </w:r>
      <w:r w:rsidRPr="00EB0524">
        <w:rPr>
          <w:sz w:val="24"/>
          <w:szCs w:val="24"/>
        </w:rPr>
        <w:t xml:space="preserve">alorimetry </w:t>
      </w:r>
      <w:r>
        <w:rPr>
          <w:sz w:val="24"/>
          <w:szCs w:val="24"/>
        </w:rPr>
        <w:t>(</w:t>
      </w:r>
      <w:r w:rsidRPr="00EB0524">
        <w:rPr>
          <w:sz w:val="24"/>
          <w:szCs w:val="24"/>
        </w:rPr>
        <w:t>HTOMSC</w:t>
      </w:r>
      <w:r>
        <w:rPr>
          <w:sz w:val="24"/>
          <w:szCs w:val="24"/>
        </w:rPr>
        <w:t>)</w:t>
      </w:r>
      <w:r w:rsidRPr="00EB0524">
        <w:rPr>
          <w:sz w:val="24"/>
          <w:szCs w:val="24"/>
        </w:rPr>
        <w:t xml:space="preserve"> </w:t>
      </w:r>
      <w:r>
        <w:rPr>
          <w:sz w:val="24"/>
          <w:szCs w:val="24"/>
        </w:rPr>
        <w:t>studies, each LATP sample was pressed into pellets (</w:t>
      </w:r>
      <w:r w:rsidRPr="00574D7C">
        <w:rPr>
          <w:i/>
          <w:sz w:val="24"/>
          <w:szCs w:val="24"/>
        </w:rPr>
        <w:t>m</w:t>
      </w:r>
      <w:r>
        <w:rPr>
          <w:sz w:val="24"/>
          <w:szCs w:val="24"/>
        </w:rPr>
        <w:t xml:space="preserve"> = 4-5 mg, </w:t>
      </w:r>
      <w:r w:rsidRPr="00574D7C">
        <w:rPr>
          <w:i/>
          <w:sz w:val="24"/>
          <w:szCs w:val="24"/>
        </w:rPr>
        <w:t>d</w:t>
      </w:r>
      <w:r>
        <w:rPr>
          <w:sz w:val="24"/>
          <w:szCs w:val="24"/>
        </w:rPr>
        <w:t xml:space="preserve"> = 2 mm). The pellets were dropped from room temperature (298 K) into 20 g of molten sodium molybdate solvent (3Na</w:t>
      </w:r>
      <w:r w:rsidRPr="0039184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O∙4MoO</w:t>
      </w:r>
      <w:r w:rsidRPr="0039184A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) equilibrated at 1073 K inside </w:t>
      </w:r>
      <w:r w:rsidRPr="00574D7C">
        <w:rPr>
          <w:sz w:val="24"/>
          <w:szCs w:val="24"/>
        </w:rPr>
        <w:t xml:space="preserve">a Tian </w:t>
      </w:r>
      <w:proofErr w:type="spellStart"/>
      <w:r w:rsidRPr="00574D7C">
        <w:rPr>
          <w:sz w:val="24"/>
          <w:szCs w:val="24"/>
        </w:rPr>
        <w:t>Calvet</w:t>
      </w:r>
      <w:proofErr w:type="spellEnd"/>
      <w:r w:rsidRPr="00574D7C">
        <w:rPr>
          <w:sz w:val="24"/>
          <w:szCs w:val="24"/>
        </w:rPr>
        <w:t xml:space="preserve"> twin calorimeter (</w:t>
      </w:r>
      <w:proofErr w:type="spellStart"/>
      <w:r w:rsidRPr="00574D7C">
        <w:rPr>
          <w:sz w:val="24"/>
          <w:szCs w:val="24"/>
        </w:rPr>
        <w:t>AlexSYS</w:t>
      </w:r>
      <w:proofErr w:type="spellEnd"/>
      <w:r w:rsidRPr="00574D7C">
        <w:rPr>
          <w:sz w:val="24"/>
          <w:szCs w:val="24"/>
        </w:rPr>
        <w:t xml:space="preserve">, </w:t>
      </w:r>
      <w:proofErr w:type="spellStart"/>
      <w:r w:rsidRPr="00574D7C">
        <w:rPr>
          <w:sz w:val="24"/>
          <w:szCs w:val="24"/>
        </w:rPr>
        <w:t>Setaram</w:t>
      </w:r>
      <w:proofErr w:type="spellEnd"/>
      <w:r w:rsidR="00F26D87">
        <w:rPr>
          <w:sz w:val="24"/>
          <w:szCs w:val="24"/>
        </w:rPr>
        <w:t xml:space="preserve"> </w:t>
      </w:r>
      <w:proofErr w:type="spellStart"/>
      <w:r w:rsidR="00F26D87">
        <w:rPr>
          <w:sz w:val="24"/>
          <w:szCs w:val="24"/>
        </w:rPr>
        <w:t>Cailure</w:t>
      </w:r>
      <w:proofErr w:type="spellEnd"/>
      <w:r w:rsidR="00F26D87">
        <w:rPr>
          <w:sz w:val="24"/>
          <w:szCs w:val="24"/>
        </w:rPr>
        <w:t>, France)</w:t>
      </w:r>
      <w:r w:rsidRPr="00EB0524">
        <w:rPr>
          <w:sz w:val="24"/>
          <w:szCs w:val="24"/>
        </w:rPr>
        <w:t xml:space="preserve">. </w:t>
      </w:r>
      <w:r>
        <w:rPr>
          <w:sz w:val="24"/>
          <w:szCs w:val="24"/>
        </w:rPr>
        <w:t>The oxygen gas was bubbled through the solvent</w:t>
      </w:r>
      <w:r w:rsidRPr="00897788">
        <w:rPr>
          <w:sz w:val="24"/>
          <w:szCs w:val="24"/>
        </w:rPr>
        <w:t xml:space="preserve"> at 5 mL/min </w:t>
      </w:r>
      <w:r>
        <w:rPr>
          <w:sz w:val="24"/>
          <w:szCs w:val="24"/>
        </w:rPr>
        <w:t xml:space="preserve">and flushed over the solvent at 90 mL/min </w:t>
      </w:r>
      <w:r w:rsidRPr="00897788">
        <w:rPr>
          <w:sz w:val="24"/>
          <w:szCs w:val="24"/>
        </w:rPr>
        <w:t xml:space="preserve">to ensure </w:t>
      </w:r>
      <w:r>
        <w:rPr>
          <w:sz w:val="24"/>
          <w:szCs w:val="24"/>
        </w:rPr>
        <w:t xml:space="preserve">the </w:t>
      </w:r>
      <w:r w:rsidRPr="00BA6829">
        <w:rPr>
          <w:sz w:val="24"/>
          <w:szCs w:val="24"/>
        </w:rPr>
        <w:t>thorough</w:t>
      </w:r>
      <w:r>
        <w:rPr>
          <w:sz w:val="24"/>
          <w:szCs w:val="24"/>
        </w:rPr>
        <w:t xml:space="preserve"> mixing and complete dissolution</w:t>
      </w:r>
      <w:r w:rsidRPr="00897788">
        <w:rPr>
          <w:sz w:val="24"/>
          <w:szCs w:val="24"/>
        </w:rPr>
        <w:t xml:space="preserve"> of each sample.</w:t>
      </w:r>
      <w:r>
        <w:rPr>
          <w:sz w:val="24"/>
          <w:szCs w:val="24"/>
        </w:rPr>
        <w:t xml:space="preserve"> The drop experiments were repeated until at least eight successful drops with two standards error less than 1% between the enthalpy of drop solution (∆</w:t>
      </w:r>
      <w:proofErr w:type="spellStart"/>
      <w:r w:rsidRPr="00323764">
        <w:rPr>
          <w:i/>
          <w:sz w:val="24"/>
          <w:szCs w:val="24"/>
        </w:rPr>
        <w:t>H</w:t>
      </w:r>
      <w:r w:rsidRPr="00323764">
        <w:rPr>
          <w:sz w:val="24"/>
          <w:szCs w:val="24"/>
          <w:vertAlign w:val="subscript"/>
        </w:rPr>
        <w:t>ds</w:t>
      </w:r>
      <w:proofErr w:type="spellEnd"/>
      <w:r>
        <w:rPr>
          <w:sz w:val="24"/>
          <w:szCs w:val="24"/>
        </w:rPr>
        <w:t>) values were achieved. Prior to the drop solution experiments, t</w:t>
      </w:r>
      <w:r w:rsidRPr="0036787F">
        <w:rPr>
          <w:sz w:val="24"/>
          <w:szCs w:val="24"/>
        </w:rPr>
        <w:t>he calorimeter was calibrated</w:t>
      </w:r>
      <w:r>
        <w:rPr>
          <w:sz w:val="24"/>
          <w:szCs w:val="24"/>
        </w:rPr>
        <w:t xml:space="preserve"> against the heat content </w:t>
      </w:r>
      <w:r w:rsidRPr="0036787F">
        <w:rPr>
          <w:sz w:val="24"/>
          <w:szCs w:val="24"/>
        </w:rPr>
        <w:t xml:space="preserve">of 5 mg pellets of </w:t>
      </w:r>
      <w:r>
        <w:rPr>
          <w:sz w:val="24"/>
          <w:szCs w:val="24"/>
        </w:rPr>
        <w:t>corundum (</w:t>
      </w:r>
      <w:r>
        <w:rPr>
          <w:sz w:val="24"/>
          <w:szCs w:val="24"/>
          <w:lang w:val="el-GR"/>
        </w:rPr>
        <w:t>α</w:t>
      </w:r>
      <w:r>
        <w:rPr>
          <w:sz w:val="24"/>
          <w:szCs w:val="24"/>
        </w:rPr>
        <w:t>-Al</w:t>
      </w:r>
      <w:r w:rsidRPr="0036787F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 w:rsidRPr="0036787F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>)</w:t>
      </w:r>
      <w:r w:rsidRPr="0036787F">
        <w:rPr>
          <w:sz w:val="24"/>
          <w:szCs w:val="24"/>
        </w:rPr>
        <w:t>.</w:t>
      </w:r>
      <w:r>
        <w:rPr>
          <w:sz w:val="24"/>
          <w:szCs w:val="24"/>
        </w:rPr>
        <w:t xml:space="preserve"> To make </w:t>
      </w:r>
      <w:r w:rsidRPr="00E134D2">
        <w:rPr>
          <w:sz w:val="24"/>
          <w:szCs w:val="24"/>
        </w:rPr>
        <w:lastRenderedPageBreak/>
        <w:t>3Na</w:t>
      </w:r>
      <w:r w:rsidRPr="00E134D2">
        <w:rPr>
          <w:sz w:val="24"/>
          <w:szCs w:val="24"/>
          <w:vertAlign w:val="subscript"/>
        </w:rPr>
        <w:t>2</w:t>
      </w:r>
      <w:r w:rsidRPr="00E134D2">
        <w:rPr>
          <w:sz w:val="24"/>
          <w:szCs w:val="24"/>
        </w:rPr>
        <w:t>O∙4MoO</w:t>
      </w:r>
      <w:r w:rsidRPr="00E134D2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a </w:t>
      </w:r>
      <w:r w:rsidRPr="003B384B">
        <w:rPr>
          <w:sz w:val="24"/>
          <w:szCs w:val="24"/>
        </w:rPr>
        <w:t>stoichiometric mixture of</w:t>
      </w:r>
      <w:r>
        <w:rPr>
          <w:sz w:val="24"/>
          <w:szCs w:val="24"/>
        </w:rPr>
        <w:t xml:space="preserve"> sodium </w:t>
      </w:r>
      <w:r w:rsidRPr="00564E3A">
        <w:rPr>
          <w:sz w:val="24"/>
          <w:szCs w:val="24"/>
        </w:rPr>
        <w:t>molybdate dihydrate (Na</w:t>
      </w:r>
      <w:r w:rsidRPr="00AE2C88">
        <w:rPr>
          <w:sz w:val="24"/>
          <w:szCs w:val="24"/>
          <w:vertAlign w:val="subscript"/>
        </w:rPr>
        <w:t>2</w:t>
      </w:r>
      <w:r w:rsidRPr="00564E3A">
        <w:rPr>
          <w:sz w:val="24"/>
          <w:szCs w:val="24"/>
        </w:rPr>
        <w:t>MoO</w:t>
      </w:r>
      <w:r w:rsidRPr="00AE2C88">
        <w:rPr>
          <w:sz w:val="24"/>
          <w:szCs w:val="24"/>
          <w:vertAlign w:val="subscript"/>
        </w:rPr>
        <w:t>4</w:t>
      </w:r>
      <w:r w:rsidRPr="00564E3A">
        <w:rPr>
          <w:rFonts w:ascii="Cambria Math" w:hAnsi="Cambria Math" w:cs="Cambria Math"/>
          <w:sz w:val="24"/>
          <w:szCs w:val="24"/>
        </w:rPr>
        <w:t>⋅</w:t>
      </w:r>
      <w:r>
        <w:rPr>
          <w:sz w:val="24"/>
          <w:szCs w:val="24"/>
        </w:rPr>
        <w:t>2H</w:t>
      </w:r>
      <w:r w:rsidRPr="00AE2C8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O, 99.5%, Spectrum) and molybdenum (VI) </w:t>
      </w:r>
      <w:r w:rsidRPr="00564E3A">
        <w:rPr>
          <w:sz w:val="24"/>
          <w:szCs w:val="24"/>
        </w:rPr>
        <w:t>oxide (MoO</w:t>
      </w:r>
      <w:r w:rsidRPr="00AE2C88">
        <w:rPr>
          <w:sz w:val="24"/>
          <w:szCs w:val="24"/>
          <w:vertAlign w:val="subscript"/>
        </w:rPr>
        <w:t>3</w:t>
      </w:r>
      <w:r w:rsidRPr="00564E3A">
        <w:rPr>
          <w:sz w:val="24"/>
          <w:szCs w:val="24"/>
        </w:rPr>
        <w:t xml:space="preserve">, 99.5%, </w:t>
      </w:r>
      <w:r>
        <w:rPr>
          <w:sz w:val="24"/>
          <w:szCs w:val="24"/>
        </w:rPr>
        <w:t>Fisher Chemical</w:t>
      </w:r>
      <w:r w:rsidRPr="00564E3A">
        <w:rPr>
          <w:sz w:val="24"/>
          <w:szCs w:val="24"/>
        </w:rPr>
        <w:t>)</w:t>
      </w:r>
      <w:r w:rsidR="0018472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8472B">
        <w:rPr>
          <w:sz w:val="24"/>
          <w:szCs w:val="24"/>
        </w:rPr>
        <w:t>the starting materials were</w:t>
      </w:r>
      <w:r>
        <w:rPr>
          <w:sz w:val="24"/>
          <w:szCs w:val="24"/>
        </w:rPr>
        <w:t xml:space="preserve"> thoroughly ground in air </w:t>
      </w:r>
      <w:r w:rsidRPr="00A56B30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placed into a quartz </w:t>
      </w:r>
      <w:r w:rsidRPr="00A56B30">
        <w:rPr>
          <w:sz w:val="24"/>
          <w:szCs w:val="24"/>
        </w:rPr>
        <w:t>crucible. The crucible was heated</w:t>
      </w:r>
      <w:r>
        <w:rPr>
          <w:sz w:val="24"/>
          <w:szCs w:val="24"/>
        </w:rPr>
        <w:t xml:space="preserve"> to 1073 K, kept at that temperature </w:t>
      </w:r>
      <w:r w:rsidRPr="00A56B30">
        <w:rPr>
          <w:sz w:val="24"/>
          <w:szCs w:val="24"/>
        </w:rPr>
        <w:t xml:space="preserve">for </w:t>
      </w:r>
      <w:r w:rsidR="0018472B">
        <w:rPr>
          <w:sz w:val="24"/>
          <w:szCs w:val="24"/>
        </w:rPr>
        <w:t>0.5 h</w:t>
      </w:r>
      <w:r w:rsidRPr="00A56B3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and then quenched in air. </w:t>
      </w:r>
      <w:r w:rsidR="00F26D8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experimental setup, fundamental </w:t>
      </w:r>
      <w:r w:rsidRPr="00CC76A4">
        <w:rPr>
          <w:sz w:val="24"/>
          <w:szCs w:val="24"/>
        </w:rPr>
        <w:t xml:space="preserve">physicochemical </w:t>
      </w:r>
      <w:r>
        <w:rPr>
          <w:sz w:val="24"/>
          <w:szCs w:val="24"/>
        </w:rPr>
        <w:t xml:space="preserve">principles and methodology of the </w:t>
      </w:r>
      <w:r w:rsidRPr="00A329A4">
        <w:rPr>
          <w:sz w:val="24"/>
          <w:szCs w:val="24"/>
        </w:rPr>
        <w:t>HTOMSC</w:t>
      </w:r>
      <w:r>
        <w:rPr>
          <w:sz w:val="24"/>
          <w:szCs w:val="24"/>
        </w:rPr>
        <w:t xml:space="preserve"> studies are described in detail elsewhere</w:t>
      </w:r>
      <w:r w:rsidR="00B41E6C">
        <w:rPr>
          <w:color w:val="FF0000"/>
          <w:sz w:val="24"/>
          <w:szCs w:val="24"/>
        </w:rPr>
        <w:t xml:space="preserve"> </w:t>
      </w:r>
      <w:r w:rsidR="00B41E6C" w:rsidRPr="00B41E6C">
        <w:rPr>
          <w:color w:val="0000CC"/>
          <w:sz w:val="24"/>
          <w:szCs w:val="24"/>
          <w:vertAlign w:val="superscript"/>
        </w:rPr>
        <w:t>5-7</w:t>
      </w:r>
      <w:r w:rsidRPr="00B41E6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A2CD550" w14:textId="697955EF" w:rsidR="00FD44CC" w:rsidRPr="00FD44CC" w:rsidRDefault="00FD44CC" w:rsidP="00FD44CC">
      <w:pPr>
        <w:spacing w:before="240" w:after="240"/>
        <w:rPr>
          <w:i/>
          <w:sz w:val="24"/>
          <w:szCs w:val="24"/>
        </w:rPr>
      </w:pPr>
      <w:r w:rsidRPr="00FD44CC">
        <w:rPr>
          <w:i/>
          <w:sz w:val="24"/>
          <w:szCs w:val="24"/>
        </w:rPr>
        <w:t>Drop solution enthalpy of Li</w:t>
      </w:r>
      <w:r w:rsidRPr="00FD44CC">
        <w:rPr>
          <w:i/>
          <w:sz w:val="24"/>
          <w:szCs w:val="24"/>
          <w:vertAlign w:val="subscript"/>
        </w:rPr>
        <w:t>2</w:t>
      </w:r>
      <w:r w:rsidRPr="00FD44CC">
        <w:rPr>
          <w:i/>
          <w:sz w:val="24"/>
          <w:szCs w:val="24"/>
        </w:rPr>
        <w:t xml:space="preserve">O in sodium molybdate at </w:t>
      </w:r>
      <w:r>
        <w:rPr>
          <w:i/>
          <w:sz w:val="24"/>
          <w:szCs w:val="24"/>
        </w:rPr>
        <w:t>1073 K</w:t>
      </w:r>
    </w:p>
    <w:p w14:paraId="45001523" w14:textId="0DD713FC" w:rsidR="005C4820" w:rsidRDefault="00FD44CC" w:rsidP="00FD44CC">
      <w:pPr>
        <w:spacing w:line="360" w:lineRule="auto"/>
        <w:jc w:val="both"/>
        <w:rPr>
          <w:sz w:val="24"/>
          <w:szCs w:val="24"/>
        </w:rPr>
      </w:pPr>
      <w:r w:rsidRPr="0004414A">
        <w:rPr>
          <w:sz w:val="24"/>
          <w:szCs w:val="24"/>
        </w:rPr>
        <w:t>∆</w:t>
      </w:r>
      <w:proofErr w:type="spellStart"/>
      <w:r w:rsidRPr="00666DCC">
        <w:rPr>
          <w:i/>
          <w:sz w:val="24"/>
          <w:szCs w:val="24"/>
        </w:rPr>
        <w:t>H</w:t>
      </w:r>
      <w:r w:rsidRPr="0004414A">
        <w:rPr>
          <w:sz w:val="24"/>
          <w:szCs w:val="24"/>
          <w:vertAlign w:val="subscript"/>
        </w:rPr>
        <w:t>ds</w:t>
      </w:r>
      <w:proofErr w:type="spellEnd"/>
      <w:r>
        <w:rPr>
          <w:sz w:val="24"/>
          <w:szCs w:val="24"/>
        </w:rPr>
        <w:t xml:space="preserve"> (Li</w:t>
      </w:r>
      <w:r w:rsidRPr="003941BF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O) was calculated using the experimentally measured </w:t>
      </w:r>
      <w:r w:rsidRPr="0004414A">
        <w:rPr>
          <w:sz w:val="24"/>
          <w:szCs w:val="24"/>
        </w:rPr>
        <w:t>drop solution enthalpy (∆</w:t>
      </w:r>
      <w:proofErr w:type="spellStart"/>
      <w:r w:rsidRPr="004B3202">
        <w:rPr>
          <w:i/>
          <w:sz w:val="24"/>
          <w:szCs w:val="24"/>
        </w:rPr>
        <w:t>H</w:t>
      </w:r>
      <w:r w:rsidRPr="0004414A">
        <w:rPr>
          <w:sz w:val="24"/>
          <w:szCs w:val="24"/>
          <w:vertAlign w:val="subscript"/>
        </w:rPr>
        <w:t>ds</w:t>
      </w:r>
      <w:proofErr w:type="spellEnd"/>
      <w:r w:rsidRPr="0004414A">
        <w:rPr>
          <w:sz w:val="24"/>
          <w:szCs w:val="24"/>
        </w:rPr>
        <w:t>)</w:t>
      </w:r>
      <w:r>
        <w:rPr>
          <w:sz w:val="24"/>
          <w:szCs w:val="24"/>
        </w:rPr>
        <w:t xml:space="preserve"> of Li</w:t>
      </w:r>
      <w:r w:rsidRPr="0004414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CO</w:t>
      </w:r>
      <w:r w:rsidRPr="003941BF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(</w:t>
      </w:r>
      <w:r w:rsidRPr="000A7DDE">
        <w:rPr>
          <w:sz w:val="24"/>
          <w:szCs w:val="24"/>
        </w:rPr>
        <w:t>183.99 ± 0.33(8) kJ/mol</w:t>
      </w:r>
      <w:r>
        <w:rPr>
          <w:sz w:val="24"/>
          <w:szCs w:val="24"/>
        </w:rPr>
        <w:t>), heat content of CO</w:t>
      </w:r>
      <w:r w:rsidRPr="003941BF">
        <w:rPr>
          <w:sz w:val="24"/>
          <w:szCs w:val="24"/>
          <w:vertAlign w:val="subscript"/>
        </w:rPr>
        <w:t>2</w:t>
      </w:r>
      <w:r w:rsidR="00E21421">
        <w:rPr>
          <w:color w:val="FF0000"/>
          <w:sz w:val="24"/>
          <w:szCs w:val="24"/>
          <w:vertAlign w:val="subscript"/>
        </w:rPr>
        <w:t xml:space="preserve"> </w:t>
      </w:r>
      <w:r w:rsidR="00E21421" w:rsidRPr="00E21421">
        <w:rPr>
          <w:color w:val="0000CC"/>
          <w:sz w:val="24"/>
          <w:szCs w:val="24"/>
          <w:vertAlign w:val="superscript"/>
        </w:rPr>
        <w:t>8</w:t>
      </w:r>
      <w:r>
        <w:rPr>
          <w:sz w:val="24"/>
          <w:szCs w:val="24"/>
        </w:rPr>
        <w:t>, and formation enthalpy of Li</w:t>
      </w:r>
      <w:r w:rsidRPr="003941BF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CO</w:t>
      </w:r>
      <w:r w:rsidRPr="003941BF">
        <w:rPr>
          <w:sz w:val="24"/>
          <w:szCs w:val="24"/>
          <w:vertAlign w:val="subscript"/>
        </w:rPr>
        <w:t>3</w:t>
      </w:r>
      <w:r w:rsidR="00E21421" w:rsidRPr="00C75B1F">
        <w:rPr>
          <w:sz w:val="24"/>
          <w:szCs w:val="24"/>
        </w:rPr>
        <w:t xml:space="preserve"> </w:t>
      </w:r>
      <w:r w:rsidR="00E21421" w:rsidRPr="00E21421">
        <w:rPr>
          <w:color w:val="0000CC"/>
          <w:sz w:val="24"/>
          <w:szCs w:val="24"/>
          <w:vertAlign w:val="superscript"/>
        </w:rPr>
        <w:t>9</w:t>
      </w:r>
      <w:r>
        <w:rPr>
          <w:sz w:val="24"/>
          <w:szCs w:val="24"/>
        </w:rPr>
        <w:t xml:space="preserve">. The thermochemical cycle is shown in </w:t>
      </w:r>
      <w:r w:rsidRPr="004B3202">
        <w:rPr>
          <w:color w:val="0000FF"/>
          <w:sz w:val="24"/>
          <w:szCs w:val="24"/>
        </w:rPr>
        <w:t>Table S</w:t>
      </w:r>
      <w:r w:rsidR="003361F2">
        <w:rPr>
          <w:color w:val="0000FF"/>
          <w:sz w:val="24"/>
          <w:szCs w:val="24"/>
        </w:rPr>
        <w:t>4</w:t>
      </w:r>
      <w:r>
        <w:rPr>
          <w:sz w:val="24"/>
          <w:szCs w:val="24"/>
        </w:rPr>
        <w:t>. Before the drop solution experiments, the Li</w:t>
      </w:r>
      <w:r w:rsidRPr="00BA3299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CO</w:t>
      </w:r>
      <w:r w:rsidRPr="00BA3299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was dried at 393 K for 24 h in air to remove traces of the moisture.</w:t>
      </w:r>
    </w:p>
    <w:p w14:paraId="46390213" w14:textId="78B71412" w:rsidR="00B55322" w:rsidRDefault="00D85087" w:rsidP="00FD44CC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Energetics of mixing</w:t>
      </w:r>
    </w:p>
    <w:p w14:paraId="13A0F1A2" w14:textId="71DE706F" w:rsidR="00D85087" w:rsidRPr="004F49DD" w:rsidRDefault="00F67938" w:rsidP="00FD44CC">
      <w:pPr>
        <w:spacing w:line="360" w:lineRule="auto"/>
        <w:jc w:val="both"/>
        <w:rPr>
          <w:sz w:val="24"/>
          <w:szCs w:val="24"/>
        </w:rPr>
      </w:pPr>
      <w:r w:rsidRPr="00F67938">
        <w:rPr>
          <w:sz w:val="24"/>
          <w:szCs w:val="24"/>
        </w:rPr>
        <w:t xml:space="preserve">In the main text, we presented experimental values of </w:t>
      </w:r>
      <w:r w:rsidR="00514F4A">
        <w:rPr>
          <w:sz w:val="24"/>
          <w:szCs w:val="24"/>
        </w:rPr>
        <w:t xml:space="preserve">drop solution </w:t>
      </w:r>
      <w:r w:rsidRPr="00F67938">
        <w:rPr>
          <w:sz w:val="24"/>
          <w:szCs w:val="24"/>
        </w:rPr>
        <w:t xml:space="preserve">enthalpies </w:t>
      </w:r>
      <w:r w:rsidR="00514F4A" w:rsidRPr="00514F4A">
        <w:rPr>
          <w:sz w:val="24"/>
          <w:szCs w:val="24"/>
        </w:rPr>
        <w:t>for Li</w:t>
      </w:r>
      <w:r w:rsidR="00514F4A" w:rsidRPr="00514F4A">
        <w:rPr>
          <w:sz w:val="24"/>
          <w:szCs w:val="24"/>
          <w:vertAlign w:val="subscript"/>
        </w:rPr>
        <w:t>1+x</w:t>
      </w:r>
      <w:r w:rsidR="00514F4A" w:rsidRPr="00514F4A">
        <w:rPr>
          <w:sz w:val="24"/>
          <w:szCs w:val="24"/>
        </w:rPr>
        <w:t>Al</w:t>
      </w:r>
      <w:r w:rsidR="00514F4A" w:rsidRPr="00514F4A">
        <w:rPr>
          <w:sz w:val="24"/>
          <w:szCs w:val="24"/>
          <w:vertAlign w:val="subscript"/>
        </w:rPr>
        <w:t>x</w:t>
      </w:r>
      <w:r w:rsidR="00514F4A" w:rsidRPr="00514F4A">
        <w:rPr>
          <w:sz w:val="24"/>
          <w:szCs w:val="24"/>
        </w:rPr>
        <w:t>Ti</w:t>
      </w:r>
      <w:r w:rsidR="00514F4A" w:rsidRPr="00514F4A">
        <w:rPr>
          <w:sz w:val="24"/>
          <w:szCs w:val="24"/>
          <w:vertAlign w:val="subscript"/>
        </w:rPr>
        <w:t>2-x</w:t>
      </w:r>
      <w:r w:rsidR="00514F4A" w:rsidRPr="00514F4A">
        <w:rPr>
          <w:sz w:val="24"/>
          <w:szCs w:val="24"/>
        </w:rPr>
        <w:t>(PO</w:t>
      </w:r>
      <w:r w:rsidR="00514F4A" w:rsidRPr="00514F4A">
        <w:rPr>
          <w:sz w:val="24"/>
          <w:szCs w:val="24"/>
          <w:vertAlign w:val="subscript"/>
        </w:rPr>
        <w:t>4</w:t>
      </w:r>
      <w:r w:rsidR="00514F4A" w:rsidRPr="00514F4A">
        <w:rPr>
          <w:sz w:val="24"/>
          <w:szCs w:val="24"/>
        </w:rPr>
        <w:t>)</w:t>
      </w:r>
      <w:r w:rsidR="00514F4A" w:rsidRPr="00514F4A">
        <w:rPr>
          <w:sz w:val="24"/>
          <w:szCs w:val="24"/>
          <w:vertAlign w:val="subscript"/>
        </w:rPr>
        <w:t>3</w:t>
      </w:r>
      <w:r w:rsidR="00514F4A" w:rsidRPr="00514F4A">
        <w:rPr>
          <w:sz w:val="24"/>
          <w:szCs w:val="24"/>
        </w:rPr>
        <w:t xml:space="preserve"> </w:t>
      </w:r>
      <w:r w:rsidR="00514F4A">
        <w:rPr>
          <w:sz w:val="24"/>
          <w:szCs w:val="24"/>
        </w:rPr>
        <w:t>along with the quadratic fit.</w:t>
      </w:r>
      <w:r w:rsidRPr="00F67938">
        <w:rPr>
          <w:sz w:val="24"/>
          <w:szCs w:val="24"/>
        </w:rPr>
        <w:t xml:space="preserve"> Herein, we present the enthalpy of </w:t>
      </w:r>
      <w:r w:rsidR="00514F4A">
        <w:rPr>
          <w:sz w:val="24"/>
          <w:szCs w:val="24"/>
        </w:rPr>
        <w:t xml:space="preserve">mixing </w:t>
      </w:r>
      <w:r w:rsidR="00514F4A" w:rsidRPr="00024750">
        <w:rPr>
          <w:rFonts w:ascii="Symbol" w:hAnsi="Symbol"/>
          <w:sz w:val="24"/>
          <w:szCs w:val="24"/>
        </w:rPr>
        <w:t></w:t>
      </w:r>
      <w:proofErr w:type="spellStart"/>
      <w:r w:rsidR="00514F4A" w:rsidRPr="00024750">
        <w:rPr>
          <w:sz w:val="24"/>
          <w:szCs w:val="24"/>
        </w:rPr>
        <w:t>H</w:t>
      </w:r>
      <w:r w:rsidR="00514F4A" w:rsidRPr="00700F4E">
        <w:rPr>
          <w:sz w:val="24"/>
          <w:szCs w:val="24"/>
          <w:vertAlign w:val="subscript"/>
        </w:rPr>
        <w:t>mix</w:t>
      </w:r>
      <w:proofErr w:type="spellEnd"/>
      <w:r w:rsidR="00514F4A">
        <w:rPr>
          <w:sz w:val="24"/>
          <w:szCs w:val="24"/>
        </w:rPr>
        <w:t>, the mixing entropy term (</w:t>
      </w:r>
      <w:proofErr w:type="spellStart"/>
      <w:r w:rsidR="00514F4A" w:rsidRPr="00024750">
        <w:rPr>
          <w:sz w:val="24"/>
          <w:szCs w:val="24"/>
        </w:rPr>
        <w:t>TΔ</w:t>
      </w:r>
      <w:r w:rsidR="00514F4A" w:rsidRPr="00024750">
        <w:rPr>
          <w:i/>
          <w:sz w:val="24"/>
          <w:szCs w:val="24"/>
        </w:rPr>
        <w:t>S</w:t>
      </w:r>
      <w:r w:rsidR="00514F4A" w:rsidRPr="00024750">
        <w:rPr>
          <w:sz w:val="24"/>
          <w:szCs w:val="24"/>
          <w:vertAlign w:val="subscript"/>
        </w:rPr>
        <w:t>mix</w:t>
      </w:r>
      <w:proofErr w:type="spellEnd"/>
      <w:r w:rsidR="00514F4A">
        <w:rPr>
          <w:sz w:val="24"/>
          <w:szCs w:val="24"/>
        </w:rPr>
        <w:t xml:space="preserve">) and the free energy of mixing </w:t>
      </w:r>
      <w:r w:rsidR="00514F4A" w:rsidRPr="00024750">
        <w:rPr>
          <w:rFonts w:ascii="Symbol" w:hAnsi="Symbol"/>
          <w:sz w:val="24"/>
          <w:szCs w:val="24"/>
        </w:rPr>
        <w:t></w:t>
      </w:r>
      <w:proofErr w:type="spellStart"/>
      <w:r w:rsidR="00514F4A" w:rsidRPr="00024750">
        <w:rPr>
          <w:sz w:val="24"/>
          <w:szCs w:val="24"/>
        </w:rPr>
        <w:t>G</w:t>
      </w:r>
      <w:r w:rsidR="00514F4A" w:rsidRPr="00024750">
        <w:rPr>
          <w:sz w:val="24"/>
          <w:szCs w:val="24"/>
          <w:vertAlign w:val="subscript"/>
        </w:rPr>
        <w:t>mix</w:t>
      </w:r>
      <w:proofErr w:type="spellEnd"/>
      <w:r w:rsidR="00514F4A" w:rsidRPr="00024750">
        <w:rPr>
          <w:sz w:val="24"/>
          <w:szCs w:val="24"/>
        </w:rPr>
        <w:t xml:space="preserve"> at 1200 K </w:t>
      </w:r>
      <w:r w:rsidR="004F49DD">
        <w:rPr>
          <w:sz w:val="24"/>
          <w:szCs w:val="24"/>
        </w:rPr>
        <w:t>(</w:t>
      </w:r>
      <w:r w:rsidR="004F49DD" w:rsidRPr="00CD099D">
        <w:rPr>
          <w:color w:val="0000FF"/>
          <w:sz w:val="24"/>
          <w:szCs w:val="24"/>
        </w:rPr>
        <w:t>Fig. S2</w:t>
      </w:r>
      <w:r w:rsidR="004F49DD">
        <w:rPr>
          <w:sz w:val="24"/>
          <w:szCs w:val="24"/>
        </w:rPr>
        <w:t xml:space="preserve">) </w:t>
      </w:r>
      <w:r w:rsidR="00514F4A" w:rsidRPr="00024750">
        <w:rPr>
          <w:sz w:val="24"/>
          <w:szCs w:val="24"/>
        </w:rPr>
        <w:t xml:space="preserve">calculated </w:t>
      </w:r>
      <w:r w:rsidR="00514F4A">
        <w:rPr>
          <w:sz w:val="24"/>
          <w:szCs w:val="24"/>
        </w:rPr>
        <w:t xml:space="preserve">using </w:t>
      </w:r>
      <w:r w:rsidR="00514F4A" w:rsidRPr="00CD099D">
        <w:rPr>
          <w:color w:val="0000FF"/>
          <w:sz w:val="24"/>
          <w:szCs w:val="24"/>
        </w:rPr>
        <w:t>Eq. 2-4</w:t>
      </w:r>
      <w:r w:rsidR="00514F4A" w:rsidRPr="00514F4A">
        <w:rPr>
          <w:color w:val="0000CC"/>
          <w:sz w:val="24"/>
          <w:szCs w:val="24"/>
        </w:rPr>
        <w:t xml:space="preserve"> </w:t>
      </w:r>
      <w:r w:rsidR="00514F4A">
        <w:rPr>
          <w:sz w:val="24"/>
          <w:szCs w:val="24"/>
        </w:rPr>
        <w:t>from the main text.</w:t>
      </w:r>
      <w:r w:rsidR="004F49DD">
        <w:rPr>
          <w:sz w:val="24"/>
          <w:szCs w:val="24"/>
        </w:rPr>
        <w:t xml:space="preserve"> The calculation reveal</w:t>
      </w:r>
      <w:r w:rsidR="00B140C4">
        <w:rPr>
          <w:sz w:val="24"/>
          <w:szCs w:val="24"/>
        </w:rPr>
        <w:t>s</w:t>
      </w:r>
      <w:r w:rsidR="004F49DD">
        <w:rPr>
          <w:sz w:val="24"/>
          <w:szCs w:val="24"/>
        </w:rPr>
        <w:t xml:space="preserve"> positive values of </w:t>
      </w:r>
      <w:r w:rsidR="004F49DD" w:rsidRPr="00024750">
        <w:rPr>
          <w:rFonts w:ascii="Symbol" w:hAnsi="Symbol"/>
          <w:sz w:val="24"/>
          <w:szCs w:val="24"/>
        </w:rPr>
        <w:t></w:t>
      </w:r>
      <w:proofErr w:type="spellStart"/>
      <w:r w:rsidR="004F49DD" w:rsidRPr="00024750">
        <w:rPr>
          <w:sz w:val="24"/>
          <w:szCs w:val="24"/>
        </w:rPr>
        <w:t>G</w:t>
      </w:r>
      <w:r w:rsidR="004F49DD" w:rsidRPr="00024750">
        <w:rPr>
          <w:sz w:val="24"/>
          <w:szCs w:val="24"/>
          <w:vertAlign w:val="subscript"/>
        </w:rPr>
        <w:t>mix</w:t>
      </w:r>
      <w:proofErr w:type="spellEnd"/>
      <w:r w:rsidR="004F49DD">
        <w:rPr>
          <w:sz w:val="24"/>
          <w:szCs w:val="24"/>
        </w:rPr>
        <w:t xml:space="preserve"> implying substantial deviation from the regular solution formalism.</w:t>
      </w:r>
    </w:p>
    <w:p w14:paraId="1B89C37F" w14:textId="2E1B188D" w:rsidR="00021706" w:rsidRDefault="006E4C92" w:rsidP="00B140C4">
      <w:pPr>
        <w:spacing w:line="360" w:lineRule="auto"/>
        <w:ind w:left="-993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D364650" wp14:editId="1007B4D0">
            <wp:extent cx="6782924" cy="543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2924" cy="54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9454E" w14:textId="2CA2D587" w:rsidR="00061BEF" w:rsidRPr="00061BEF" w:rsidRDefault="006E4C92" w:rsidP="00B140C4">
      <w:pPr>
        <w:spacing w:after="360" w:line="360" w:lineRule="auto"/>
        <w:ind w:left="-993"/>
        <w:jc w:val="both"/>
        <w:rPr>
          <w:sz w:val="24"/>
          <w:szCs w:val="24"/>
        </w:rPr>
      </w:pPr>
      <w:r w:rsidRPr="00A0610F">
        <w:rPr>
          <w:color w:val="0000FF"/>
          <w:sz w:val="24"/>
          <w:szCs w:val="24"/>
        </w:rPr>
        <w:t>Figure S1</w:t>
      </w:r>
      <w:r>
        <w:rPr>
          <w:sz w:val="24"/>
          <w:szCs w:val="24"/>
        </w:rPr>
        <w:t xml:space="preserve">. PXRD patterns of all LATP samples </w:t>
      </w:r>
      <w:r w:rsidRPr="006E4C92">
        <w:rPr>
          <w:sz w:val="24"/>
          <w:szCs w:val="24"/>
        </w:rPr>
        <w:t>(0≤ x ≤ 0.5)</w:t>
      </w:r>
      <w:r>
        <w:rPr>
          <w:sz w:val="24"/>
          <w:szCs w:val="24"/>
        </w:rPr>
        <w:t xml:space="preserve"> used in the present study.</w:t>
      </w:r>
      <w:r w:rsidR="00061BEF">
        <w:rPr>
          <w:sz w:val="24"/>
          <w:szCs w:val="24"/>
        </w:rPr>
        <w:t xml:space="preserve"> </w:t>
      </w:r>
      <w:r w:rsidR="00061BEF" w:rsidRPr="00061BEF">
        <w:rPr>
          <w:sz w:val="24"/>
          <w:szCs w:val="24"/>
        </w:rPr>
        <w:t>A comparison with the calculated pattern for LiTi</w:t>
      </w:r>
      <w:r w:rsidR="00061BEF" w:rsidRPr="00061BEF">
        <w:rPr>
          <w:sz w:val="24"/>
          <w:szCs w:val="24"/>
          <w:vertAlign w:val="subscript"/>
        </w:rPr>
        <w:t>2</w:t>
      </w:r>
      <w:r w:rsidR="00061BEF" w:rsidRPr="00061BEF">
        <w:rPr>
          <w:sz w:val="24"/>
          <w:szCs w:val="24"/>
        </w:rPr>
        <w:t>(PO</w:t>
      </w:r>
      <w:r w:rsidR="00061BEF" w:rsidRPr="00061BEF">
        <w:rPr>
          <w:sz w:val="24"/>
          <w:szCs w:val="24"/>
          <w:vertAlign w:val="subscript"/>
        </w:rPr>
        <w:t>4</w:t>
      </w:r>
      <w:r w:rsidR="00061BEF" w:rsidRPr="00061BEF">
        <w:rPr>
          <w:sz w:val="24"/>
          <w:szCs w:val="24"/>
        </w:rPr>
        <w:t>)</w:t>
      </w:r>
      <w:r w:rsidR="00061BEF" w:rsidRPr="00061BEF">
        <w:rPr>
          <w:sz w:val="24"/>
          <w:szCs w:val="24"/>
          <w:vertAlign w:val="subscript"/>
        </w:rPr>
        <w:t>3</w:t>
      </w:r>
      <w:r w:rsidR="00061BEF" w:rsidRPr="00061BEF">
        <w:rPr>
          <w:sz w:val="24"/>
          <w:szCs w:val="24"/>
        </w:rPr>
        <w:t xml:space="preserve"> (ICSD# 184088) </w:t>
      </w:r>
      <w:r w:rsidR="005C4820">
        <w:rPr>
          <w:sz w:val="24"/>
          <w:szCs w:val="24"/>
        </w:rPr>
        <w:t>highlights</w:t>
      </w:r>
      <w:r w:rsidR="00061BEF" w:rsidRPr="00061BEF">
        <w:rPr>
          <w:sz w:val="24"/>
          <w:szCs w:val="24"/>
        </w:rPr>
        <w:t xml:space="preserve"> the absence of impurities. </w:t>
      </w:r>
    </w:p>
    <w:p w14:paraId="0F1DAEA4" w14:textId="7388019A" w:rsidR="008E0D7E" w:rsidRDefault="008E0D7E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</w:p>
    <w:p w14:paraId="7D8C3C0B" w14:textId="7D26CC9D" w:rsidR="00B140C4" w:rsidRDefault="00B140C4" w:rsidP="00B140C4">
      <w:pPr>
        <w:ind w:left="-567" w:hanging="42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4849D2B" wp14:editId="238D95E8">
            <wp:extent cx="7114052" cy="234000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ation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4052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4D31" w14:textId="72EFE857" w:rsidR="00B140C4" w:rsidRPr="00B140C4" w:rsidRDefault="00B140C4" w:rsidP="00B140C4">
      <w:pPr>
        <w:ind w:left="-993" w:right="-376"/>
        <w:jc w:val="both"/>
        <w:rPr>
          <w:sz w:val="24"/>
          <w:szCs w:val="24"/>
        </w:rPr>
      </w:pPr>
      <w:r w:rsidRPr="00CD099D">
        <w:rPr>
          <w:color w:val="0000FF"/>
          <w:sz w:val="24"/>
          <w:szCs w:val="24"/>
        </w:rPr>
        <w:t>Figure S2</w:t>
      </w:r>
      <w:r w:rsidRPr="00B140C4">
        <w:rPr>
          <w:color w:val="0000CC"/>
          <w:sz w:val="24"/>
          <w:szCs w:val="24"/>
        </w:rPr>
        <w:t>.</w:t>
      </w:r>
      <w:r>
        <w:rPr>
          <w:sz w:val="24"/>
          <w:szCs w:val="24"/>
        </w:rPr>
        <w:t xml:space="preserve"> Enthalpy of mixing (a), the mixing entropy term (b) and the free energy of mixing for the solid solution </w:t>
      </w:r>
      <w:r w:rsidRPr="00514F4A">
        <w:rPr>
          <w:sz w:val="24"/>
          <w:szCs w:val="24"/>
        </w:rPr>
        <w:t>Li</w:t>
      </w:r>
      <w:r w:rsidRPr="00514F4A">
        <w:rPr>
          <w:sz w:val="24"/>
          <w:szCs w:val="24"/>
          <w:vertAlign w:val="subscript"/>
        </w:rPr>
        <w:t>1+</w:t>
      </w:r>
      <w:r>
        <w:rPr>
          <w:sz w:val="24"/>
          <w:szCs w:val="24"/>
          <w:vertAlign w:val="subscript"/>
        </w:rPr>
        <w:t>y/2</w:t>
      </w:r>
      <w:r w:rsidRPr="00514F4A">
        <w:rPr>
          <w:sz w:val="24"/>
          <w:szCs w:val="24"/>
        </w:rPr>
        <w:t>Al</w:t>
      </w:r>
      <w:r>
        <w:rPr>
          <w:sz w:val="24"/>
          <w:szCs w:val="24"/>
          <w:vertAlign w:val="subscript"/>
        </w:rPr>
        <w:t>y/2</w:t>
      </w:r>
      <w:r w:rsidRPr="00514F4A">
        <w:rPr>
          <w:sz w:val="24"/>
          <w:szCs w:val="24"/>
        </w:rPr>
        <w:t>Ti</w:t>
      </w:r>
      <w:r w:rsidRPr="00514F4A">
        <w:rPr>
          <w:sz w:val="24"/>
          <w:szCs w:val="24"/>
          <w:vertAlign w:val="subscript"/>
        </w:rPr>
        <w:t>2-</w:t>
      </w:r>
      <w:r>
        <w:rPr>
          <w:sz w:val="24"/>
          <w:szCs w:val="24"/>
          <w:vertAlign w:val="subscript"/>
        </w:rPr>
        <w:t>y/2</w:t>
      </w:r>
      <w:r w:rsidRPr="00514F4A">
        <w:rPr>
          <w:sz w:val="24"/>
          <w:szCs w:val="24"/>
        </w:rPr>
        <w:t>(PO</w:t>
      </w:r>
      <w:r w:rsidRPr="00514F4A">
        <w:rPr>
          <w:sz w:val="24"/>
          <w:szCs w:val="24"/>
          <w:vertAlign w:val="subscript"/>
        </w:rPr>
        <w:t>4</w:t>
      </w:r>
      <w:r w:rsidRPr="00514F4A">
        <w:rPr>
          <w:sz w:val="24"/>
          <w:szCs w:val="24"/>
        </w:rPr>
        <w:t>)</w:t>
      </w:r>
      <w:r w:rsidRPr="00514F4A"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(y = 2x).</w:t>
      </w:r>
    </w:p>
    <w:p w14:paraId="1B207B96" w14:textId="55A77CAC" w:rsidR="00850ED8" w:rsidRPr="00D55D6D" w:rsidRDefault="00850ED8" w:rsidP="00F87181">
      <w:pPr>
        <w:spacing w:before="480" w:line="360" w:lineRule="auto"/>
        <w:ind w:left="-992"/>
        <w:jc w:val="both"/>
        <w:rPr>
          <w:b/>
          <w:sz w:val="24"/>
          <w:szCs w:val="24"/>
        </w:rPr>
      </w:pPr>
      <w:r w:rsidRPr="00CD099D">
        <w:rPr>
          <w:color w:val="0000FF"/>
          <w:sz w:val="24"/>
          <w:szCs w:val="24"/>
        </w:rPr>
        <w:t>Table S1</w:t>
      </w:r>
      <w:r w:rsidRPr="00D55D6D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Chemical </w:t>
      </w:r>
      <w:r w:rsidR="0018472B">
        <w:rPr>
          <w:sz w:val="24"/>
          <w:szCs w:val="24"/>
        </w:rPr>
        <w:t>c</w:t>
      </w:r>
      <w:r>
        <w:rPr>
          <w:sz w:val="24"/>
          <w:szCs w:val="24"/>
        </w:rPr>
        <w:t xml:space="preserve">omposition and </w:t>
      </w:r>
      <w:r w:rsidR="0018472B">
        <w:rPr>
          <w:sz w:val="24"/>
          <w:szCs w:val="24"/>
        </w:rPr>
        <w:t>c</w:t>
      </w:r>
      <w:r w:rsidRPr="00D55D6D">
        <w:rPr>
          <w:sz w:val="24"/>
          <w:szCs w:val="24"/>
        </w:rPr>
        <w:t>rystallographic data for Li</w:t>
      </w:r>
      <w:r w:rsidRPr="00D55D6D">
        <w:rPr>
          <w:sz w:val="24"/>
          <w:szCs w:val="24"/>
          <w:vertAlign w:val="subscript"/>
        </w:rPr>
        <w:t>1+x</w:t>
      </w:r>
      <w:r w:rsidRPr="00D55D6D">
        <w:rPr>
          <w:sz w:val="24"/>
          <w:szCs w:val="24"/>
        </w:rPr>
        <w:t>Ti</w:t>
      </w:r>
      <w:r w:rsidRPr="00D55D6D">
        <w:rPr>
          <w:sz w:val="24"/>
          <w:szCs w:val="24"/>
          <w:vertAlign w:val="subscript"/>
        </w:rPr>
        <w:t>2-</w:t>
      </w:r>
      <w:proofErr w:type="gramStart"/>
      <w:r w:rsidRPr="00D55D6D">
        <w:rPr>
          <w:sz w:val="24"/>
          <w:szCs w:val="24"/>
          <w:vertAlign w:val="subscript"/>
        </w:rPr>
        <w:t>x</w:t>
      </w:r>
      <w:r w:rsidRPr="00D55D6D">
        <w:rPr>
          <w:sz w:val="24"/>
          <w:szCs w:val="24"/>
        </w:rPr>
        <w:t>Al</w:t>
      </w:r>
      <w:r w:rsidRPr="00D55D6D">
        <w:rPr>
          <w:sz w:val="24"/>
          <w:szCs w:val="24"/>
          <w:vertAlign w:val="subscript"/>
        </w:rPr>
        <w:t>x</w:t>
      </w:r>
      <w:r w:rsidRPr="00D55D6D">
        <w:rPr>
          <w:sz w:val="24"/>
          <w:szCs w:val="24"/>
        </w:rPr>
        <w:t>(</w:t>
      </w:r>
      <w:proofErr w:type="gramEnd"/>
      <w:r w:rsidRPr="00D55D6D">
        <w:rPr>
          <w:sz w:val="24"/>
          <w:szCs w:val="24"/>
        </w:rPr>
        <w:t>PO</w:t>
      </w:r>
      <w:r w:rsidRPr="00D55D6D">
        <w:rPr>
          <w:sz w:val="24"/>
          <w:szCs w:val="24"/>
          <w:vertAlign w:val="subscript"/>
        </w:rPr>
        <w:t>4</w:t>
      </w:r>
      <w:r w:rsidRPr="00D55D6D">
        <w:rPr>
          <w:sz w:val="24"/>
          <w:szCs w:val="24"/>
        </w:rPr>
        <w:t>)</w:t>
      </w:r>
      <w:r w:rsidRPr="00D55D6D">
        <w:rPr>
          <w:sz w:val="24"/>
          <w:szCs w:val="24"/>
          <w:vertAlign w:val="subscript"/>
        </w:rPr>
        <w:t>3</w:t>
      </w:r>
      <w:r w:rsidRPr="00D55D6D">
        <w:rPr>
          <w:sz w:val="24"/>
          <w:szCs w:val="24"/>
        </w:rPr>
        <w:t>.</w:t>
      </w:r>
    </w:p>
    <w:tbl>
      <w:tblPr>
        <w:tblStyle w:val="TableGrid"/>
        <w:tblW w:w="11058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8"/>
        <w:gridCol w:w="1455"/>
        <w:gridCol w:w="1559"/>
        <w:gridCol w:w="1560"/>
        <w:gridCol w:w="1417"/>
        <w:gridCol w:w="1418"/>
        <w:gridCol w:w="1701"/>
      </w:tblGrid>
      <w:tr w:rsidR="00850ED8" w:rsidRPr="00D55D6D" w14:paraId="0EC0469E" w14:textId="77777777" w:rsidTr="00A871B5">
        <w:trPr>
          <w:trHeight w:val="608"/>
        </w:trPr>
        <w:tc>
          <w:tcPr>
            <w:tcW w:w="1948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831E309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Composition (x)</w:t>
            </w:r>
          </w:p>
        </w:tc>
        <w:tc>
          <w:tcPr>
            <w:tcW w:w="145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CDFBD4A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sz w:val="24"/>
                <w:szCs w:val="24"/>
              </w:rPr>
              <w:t>0.0</w:t>
            </w:r>
          </w:p>
        </w:tc>
        <w:tc>
          <w:tcPr>
            <w:tcW w:w="1559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6DA4BC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sz w:val="24"/>
                <w:szCs w:val="24"/>
              </w:rPr>
              <w:t>0.1</w:t>
            </w:r>
          </w:p>
        </w:tc>
        <w:tc>
          <w:tcPr>
            <w:tcW w:w="1560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F55ACDD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sz w:val="24"/>
                <w:szCs w:val="24"/>
              </w:rPr>
              <w:t>0.2</w:t>
            </w:r>
          </w:p>
        </w:tc>
        <w:tc>
          <w:tcPr>
            <w:tcW w:w="1417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4D5A222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sz w:val="24"/>
                <w:szCs w:val="24"/>
              </w:rPr>
              <w:t>0.3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2B9B1F7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sz w:val="24"/>
                <w:szCs w:val="24"/>
              </w:rPr>
              <w:t>0.4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8ED32BE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sz w:val="24"/>
                <w:szCs w:val="24"/>
              </w:rPr>
              <w:t>0.5</w:t>
            </w:r>
          </w:p>
        </w:tc>
      </w:tr>
      <w:tr w:rsidR="00850ED8" w:rsidRPr="00D55D6D" w14:paraId="21F2793B" w14:textId="77777777" w:rsidTr="00A871B5">
        <w:trPr>
          <w:trHeight w:val="3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1D998" w14:textId="77777777" w:rsidR="00850ED8" w:rsidRPr="00D55D6D" w:rsidRDefault="00850ED8" w:rsidP="00A871B5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ICP OES (x)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1E5468E" w14:textId="77777777" w:rsidR="00850ED8" w:rsidRPr="00D55D6D" w:rsidRDefault="00850ED8" w:rsidP="00A871B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811D" w14:textId="77777777" w:rsidR="00850ED8" w:rsidRPr="00D55D6D" w:rsidRDefault="00850ED8" w:rsidP="00A871B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1E79" w14:textId="77777777" w:rsidR="00850ED8" w:rsidRPr="00D55D6D" w:rsidRDefault="00850ED8" w:rsidP="00A871B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BDD9A" w14:textId="77777777" w:rsidR="00850ED8" w:rsidRPr="00D55D6D" w:rsidRDefault="00850ED8" w:rsidP="00A871B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12807" w14:textId="77777777" w:rsidR="00850ED8" w:rsidRPr="00D55D6D" w:rsidRDefault="00850ED8" w:rsidP="00A871B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9482B" w14:textId="77777777" w:rsidR="00850ED8" w:rsidRPr="00D55D6D" w:rsidRDefault="00850ED8" w:rsidP="00A871B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0.47</w:t>
            </w:r>
          </w:p>
        </w:tc>
      </w:tr>
      <w:tr w:rsidR="00850ED8" w:rsidRPr="00D55D6D" w14:paraId="2BB495E2" w14:textId="77777777" w:rsidTr="00A871B5">
        <w:trPr>
          <w:trHeight w:val="477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9D94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sz w:val="24"/>
                <w:szCs w:val="24"/>
              </w:rPr>
              <w:t>Space group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72C1B" w14:textId="77777777" w:rsidR="00850ED8" w:rsidRPr="00D55D6D" w:rsidRDefault="00850ED8" w:rsidP="00A871B5">
            <w:pPr>
              <w:spacing w:line="360" w:lineRule="auto"/>
              <w:ind w:left="-779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oMath>
            </m:oMathPara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A53CCAC" w14:textId="77777777" w:rsidR="00850ED8" w:rsidRDefault="00850ED8" w:rsidP="00A871B5">
            <w:pPr>
              <w:ind w:left="-958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oMath>
            </m:oMathPara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DF9331" w14:textId="77777777" w:rsidR="00850ED8" w:rsidRDefault="00850ED8" w:rsidP="00A871B5">
            <w:pPr>
              <w:ind w:left="-958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oMath>
            </m:oMathPara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B1E74D2" w14:textId="77777777" w:rsidR="00850ED8" w:rsidRDefault="00850ED8" w:rsidP="00A871B5">
            <w:pPr>
              <w:ind w:left="-817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oMath>
            </m:oMathPara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749B12" w14:textId="77777777" w:rsidR="00850ED8" w:rsidRDefault="00850ED8" w:rsidP="00A871B5">
            <w:pPr>
              <w:ind w:left="-817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oMath>
            </m:oMathPara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66DC1E7" w14:textId="77777777" w:rsidR="00850ED8" w:rsidRDefault="00850ED8" w:rsidP="00A871B5">
            <w:pPr>
              <w:ind w:left="-959"/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e>
                </m:acc>
                <m:r>
                  <w:rPr>
                    <w:rFonts w:ascii="Cambria Math" w:hAnsi="Cambria Math"/>
                    <w:sz w:val="24"/>
                    <w:szCs w:val="24"/>
                  </w:rPr>
                  <m:t>c</m:t>
                </m:r>
              </m:oMath>
            </m:oMathPara>
          </w:p>
        </w:tc>
      </w:tr>
      <w:tr w:rsidR="00850ED8" w:rsidRPr="00D55D6D" w14:paraId="6E7595AF" w14:textId="77777777" w:rsidTr="00A871B5">
        <w:trPr>
          <w:trHeight w:val="3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C635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i/>
                <w:sz w:val="24"/>
                <w:szCs w:val="24"/>
              </w:rPr>
              <w:t>a</w:t>
            </w:r>
            <w:r w:rsidRPr="00D55D6D">
              <w:rPr>
                <w:b/>
                <w:sz w:val="24"/>
                <w:szCs w:val="24"/>
              </w:rPr>
              <w:t xml:space="preserve"> (Å)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54EC78E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8.51279(6)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4A666F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8.50665(7)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86D9F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8.50371(5)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21035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8.49963(4)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47183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8.49492(5)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3782A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8.48979(3)</w:t>
            </w:r>
          </w:p>
        </w:tc>
      </w:tr>
      <w:tr w:rsidR="00850ED8" w:rsidRPr="00D55D6D" w14:paraId="15AD7DCE" w14:textId="77777777" w:rsidTr="00A871B5">
        <w:trPr>
          <w:trHeight w:val="318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C3DC8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i/>
                <w:sz w:val="24"/>
                <w:szCs w:val="24"/>
              </w:rPr>
              <w:t>c</w:t>
            </w:r>
            <w:r w:rsidRPr="00D55D6D">
              <w:rPr>
                <w:b/>
                <w:sz w:val="24"/>
                <w:szCs w:val="24"/>
              </w:rPr>
              <w:t xml:space="preserve"> (Å)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7ADAFF17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20.8661(3)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9029A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20.8367(4)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5A17E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20.8139(2)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268E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20.7939(2)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EFE0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20.7780(2)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F397F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20.7617(2)</w:t>
            </w:r>
          </w:p>
        </w:tc>
      </w:tr>
      <w:tr w:rsidR="00850ED8" w:rsidRPr="00D55D6D" w14:paraId="5098EB86" w14:textId="77777777" w:rsidTr="00A871B5">
        <w:trPr>
          <w:trHeight w:val="318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FF1F2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i/>
                <w:sz w:val="24"/>
                <w:szCs w:val="24"/>
              </w:rPr>
              <w:t>V</w:t>
            </w:r>
            <w:r w:rsidRPr="00D55D6D">
              <w:rPr>
                <w:b/>
                <w:sz w:val="24"/>
                <w:szCs w:val="24"/>
              </w:rPr>
              <w:t xml:space="preserve"> (Å</w:t>
            </w:r>
            <w:r w:rsidRPr="00D55D6D">
              <w:rPr>
                <w:b/>
                <w:sz w:val="24"/>
                <w:szCs w:val="24"/>
                <w:vertAlign w:val="superscript"/>
              </w:rPr>
              <w:t>3</w:t>
            </w:r>
            <w:r w:rsidRPr="00D55D6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DB1ADE6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1309.53(4)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93A5B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1305.80(5)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7AD1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1303.47(3)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481E2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1300.97(2)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B2C2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1298.54(2)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BFD4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1295.95(2)</w:t>
            </w:r>
          </w:p>
        </w:tc>
      </w:tr>
      <w:tr w:rsidR="00850ED8" w:rsidRPr="00D55D6D" w14:paraId="05D81747" w14:textId="77777777" w:rsidTr="00A871B5">
        <w:trPr>
          <w:trHeight w:val="3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066C6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D55D6D">
              <w:rPr>
                <w:b/>
                <w:i/>
                <w:sz w:val="24"/>
                <w:szCs w:val="24"/>
              </w:rPr>
              <w:t>Z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FC36D67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0073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3B87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F9EA1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5789B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9E5C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6</w:t>
            </w:r>
          </w:p>
        </w:tc>
      </w:tr>
      <w:tr w:rsidR="00850ED8" w:rsidRPr="00D55D6D" w14:paraId="03DFFBC2" w14:textId="77777777" w:rsidTr="00A871B5">
        <w:trPr>
          <w:trHeight w:val="3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1A8D4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D55D6D">
              <w:rPr>
                <w:b/>
                <w:i/>
                <w:sz w:val="24"/>
                <w:szCs w:val="24"/>
              </w:rPr>
              <w:t>D</w:t>
            </w:r>
            <w:r w:rsidRPr="00D55D6D">
              <w:rPr>
                <w:b/>
                <w:sz w:val="24"/>
                <w:szCs w:val="24"/>
                <w:vertAlign w:val="subscript"/>
              </w:rPr>
              <w:t>calc</w:t>
            </w:r>
            <w:proofErr w:type="spellEnd"/>
            <w:r w:rsidRPr="00D55D6D">
              <w:rPr>
                <w:b/>
                <w:sz w:val="24"/>
                <w:szCs w:val="24"/>
                <w:vertAlign w:val="subscript"/>
              </w:rPr>
              <w:t>.</w:t>
            </w:r>
            <w:r w:rsidRPr="00D55D6D">
              <w:rPr>
                <w:b/>
                <w:sz w:val="24"/>
                <w:szCs w:val="24"/>
              </w:rPr>
              <w:t xml:space="preserve"> (g/cm</w:t>
            </w:r>
            <w:r w:rsidRPr="00D55D6D">
              <w:rPr>
                <w:b/>
                <w:sz w:val="24"/>
                <w:szCs w:val="24"/>
                <w:vertAlign w:val="superscript"/>
              </w:rPr>
              <w:t>3</w:t>
            </w:r>
            <w:r w:rsidRPr="00D55D6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30B6A309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2.9491(1)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57D3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2.9470(1)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B2566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2.9413(1)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69B8A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2.9364(1)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BCAC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2.9313(1)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ED86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2.9262(1)</w:t>
            </w:r>
          </w:p>
        </w:tc>
      </w:tr>
      <w:tr w:rsidR="00850ED8" w:rsidRPr="00D55D6D" w14:paraId="2B8BC8E3" w14:textId="77777777" w:rsidTr="00A871B5">
        <w:trPr>
          <w:trHeight w:val="3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FF4B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i/>
                <w:sz w:val="24"/>
                <w:szCs w:val="24"/>
              </w:rPr>
              <w:t>T</w:t>
            </w:r>
            <w:r w:rsidRPr="00D55D6D">
              <w:rPr>
                <w:b/>
                <w:sz w:val="24"/>
                <w:szCs w:val="24"/>
              </w:rPr>
              <w:t xml:space="preserve"> (K)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5A53B477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F195D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CE05A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78ED2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FBFB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5C963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295</w:t>
            </w:r>
          </w:p>
        </w:tc>
      </w:tr>
      <w:tr w:rsidR="00850ED8" w:rsidRPr="00D55D6D" w14:paraId="03A02C01" w14:textId="77777777" w:rsidTr="00A871B5">
        <w:trPr>
          <w:trHeight w:val="3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671DA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i/>
                <w:sz w:val="24"/>
                <w:szCs w:val="24"/>
              </w:rPr>
              <w:t>R</w:t>
            </w:r>
            <w:r w:rsidRPr="00D55D6D">
              <w:rPr>
                <w:b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086A7351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0.0282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6A9F6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0.0422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343C5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0.0499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BAAB7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0.0325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119A0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0.0321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10595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0.0373</w:t>
            </w:r>
          </w:p>
        </w:tc>
      </w:tr>
      <w:tr w:rsidR="00850ED8" w:rsidRPr="00D55D6D" w14:paraId="13209AA2" w14:textId="77777777" w:rsidTr="00A871B5">
        <w:trPr>
          <w:trHeight w:val="305"/>
        </w:trPr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4D40B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55D6D">
              <w:rPr>
                <w:b/>
                <w:i/>
                <w:sz w:val="24"/>
                <w:szCs w:val="24"/>
              </w:rPr>
              <w:t>R</w:t>
            </w:r>
            <w:r w:rsidRPr="00D55D6D">
              <w:rPr>
                <w:b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44076DE2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0.0466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F404E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0.0356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2DBEF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0.0382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335E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0.0400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B8B4C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0.0420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B96AF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0.0431</w:t>
            </w:r>
          </w:p>
        </w:tc>
      </w:tr>
      <w:tr w:rsidR="00850ED8" w:rsidRPr="00D55D6D" w14:paraId="28C092A4" w14:textId="77777777" w:rsidTr="00A871B5">
        <w:trPr>
          <w:trHeight w:val="318"/>
        </w:trPr>
        <w:tc>
          <w:tcPr>
            <w:tcW w:w="1948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4D8F16C" w14:textId="77777777" w:rsidR="00850ED8" w:rsidRPr="00D55D6D" w:rsidRDefault="00850ED8" w:rsidP="00A871B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D55D6D">
              <w:rPr>
                <w:b/>
                <w:i/>
                <w:sz w:val="24"/>
                <w:szCs w:val="24"/>
              </w:rPr>
              <w:t>R</w:t>
            </w:r>
            <w:r w:rsidRPr="00D55D6D">
              <w:rPr>
                <w:b/>
                <w:sz w:val="24"/>
                <w:szCs w:val="24"/>
                <w:vertAlign w:val="subscript"/>
              </w:rPr>
              <w:t>wp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right w:val="nil"/>
            </w:tcBorders>
          </w:tcPr>
          <w:p w14:paraId="71B29B64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0.0729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6C003F64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0.0479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608CC71A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0.0523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vAlign w:val="center"/>
          </w:tcPr>
          <w:p w14:paraId="13BF2051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0.0548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26477E2C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0.0571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1FC0210C" w14:textId="77777777" w:rsidR="00850ED8" w:rsidRPr="00D55D6D" w:rsidRDefault="00850ED8" w:rsidP="00A871B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5D6D">
              <w:rPr>
                <w:sz w:val="24"/>
                <w:szCs w:val="24"/>
              </w:rPr>
              <w:t>0.0591</w:t>
            </w:r>
          </w:p>
        </w:tc>
      </w:tr>
    </w:tbl>
    <w:p w14:paraId="0A480297" w14:textId="77777777" w:rsidR="00B140C4" w:rsidRDefault="00B140C4">
      <w:pPr>
        <w:rPr>
          <w:rFonts w:ascii="Calibri" w:eastAsia="Calibri" w:hAnsi="Calibri" w:cs="Times New Roman"/>
          <w:color w:val="0000FF"/>
          <w:sz w:val="24"/>
          <w:szCs w:val="24"/>
        </w:rPr>
      </w:pPr>
      <w:r>
        <w:rPr>
          <w:rFonts w:ascii="Calibri" w:eastAsia="Calibri" w:hAnsi="Calibri" w:cs="Times New Roman"/>
          <w:color w:val="0000FF"/>
          <w:sz w:val="24"/>
          <w:szCs w:val="24"/>
        </w:rPr>
        <w:br w:type="page"/>
      </w:r>
    </w:p>
    <w:p w14:paraId="2F6693A8" w14:textId="7ACC4A36" w:rsidR="008E0D7E" w:rsidRPr="00F67651" w:rsidRDefault="008E0D7E" w:rsidP="00F67651">
      <w:pPr>
        <w:spacing w:before="600"/>
        <w:ind w:left="-992" w:right="-92"/>
        <w:rPr>
          <w:rFonts w:ascii="Calibri" w:eastAsia="Calibri" w:hAnsi="Calibri" w:cs="Times New Roman"/>
          <w:sz w:val="24"/>
          <w:szCs w:val="24"/>
        </w:rPr>
      </w:pPr>
      <w:r w:rsidRPr="006A5424">
        <w:rPr>
          <w:rFonts w:ascii="Calibri" w:eastAsia="Calibri" w:hAnsi="Calibri" w:cs="Times New Roman"/>
          <w:color w:val="0000FF"/>
          <w:sz w:val="24"/>
          <w:szCs w:val="24"/>
        </w:rPr>
        <w:lastRenderedPageBreak/>
        <w:t xml:space="preserve">Table </w:t>
      </w:r>
      <w:r>
        <w:rPr>
          <w:rFonts w:ascii="Calibri" w:eastAsia="Calibri" w:hAnsi="Calibri" w:cs="Times New Roman"/>
          <w:color w:val="0000FF"/>
          <w:sz w:val="24"/>
          <w:szCs w:val="24"/>
        </w:rPr>
        <w:t>S</w:t>
      </w:r>
      <w:r w:rsidRPr="006A5424">
        <w:rPr>
          <w:rFonts w:ascii="Calibri" w:eastAsia="Calibri" w:hAnsi="Calibri" w:cs="Times New Roman"/>
          <w:color w:val="0000FF"/>
          <w:sz w:val="24"/>
          <w:szCs w:val="24"/>
        </w:rPr>
        <w:t>2</w:t>
      </w:r>
      <w:r w:rsidRPr="006A5424">
        <w:rPr>
          <w:rFonts w:ascii="Calibri" w:eastAsia="Calibri" w:hAnsi="Calibri" w:cs="Times New Roman"/>
          <w:b/>
          <w:color w:val="0000FF"/>
          <w:sz w:val="24"/>
          <w:szCs w:val="24"/>
        </w:rPr>
        <w:t>.</w:t>
      </w:r>
      <w:r w:rsidRPr="006A542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E</w:t>
      </w:r>
      <w:r w:rsidRPr="006A5424">
        <w:rPr>
          <w:rFonts w:ascii="Calibri" w:eastAsia="Calibri" w:hAnsi="Calibri" w:cs="Times New Roman"/>
          <w:sz w:val="24"/>
          <w:szCs w:val="24"/>
        </w:rPr>
        <w:t>xperimental drop solution enthalpies, and enthalpies of formation of the Li</w:t>
      </w:r>
      <w:r w:rsidRPr="006A5424">
        <w:rPr>
          <w:rFonts w:ascii="Calibri" w:eastAsia="Calibri" w:hAnsi="Calibri" w:cs="Times New Roman"/>
          <w:sz w:val="24"/>
          <w:szCs w:val="24"/>
          <w:vertAlign w:val="subscript"/>
        </w:rPr>
        <w:t>1+x</w:t>
      </w:r>
      <w:r w:rsidRPr="006A5424">
        <w:rPr>
          <w:rFonts w:ascii="Calibri" w:eastAsia="Calibri" w:hAnsi="Calibri" w:cs="Times New Roman"/>
          <w:sz w:val="24"/>
          <w:szCs w:val="24"/>
        </w:rPr>
        <w:t>Ti</w:t>
      </w:r>
      <w:r w:rsidRPr="006A5424">
        <w:rPr>
          <w:rFonts w:ascii="Calibri" w:eastAsia="Calibri" w:hAnsi="Calibri" w:cs="Times New Roman"/>
          <w:sz w:val="24"/>
          <w:szCs w:val="24"/>
          <w:vertAlign w:val="subscript"/>
        </w:rPr>
        <w:t>2-</w:t>
      </w:r>
      <w:proofErr w:type="gramStart"/>
      <w:r w:rsidRPr="006A5424">
        <w:rPr>
          <w:rFonts w:ascii="Calibri" w:eastAsia="Calibri" w:hAnsi="Calibri" w:cs="Times New Roman"/>
          <w:sz w:val="24"/>
          <w:szCs w:val="24"/>
          <w:vertAlign w:val="subscript"/>
        </w:rPr>
        <w:t>x</w:t>
      </w:r>
      <w:r w:rsidRPr="006A5424">
        <w:rPr>
          <w:rFonts w:ascii="Calibri" w:eastAsia="Calibri" w:hAnsi="Calibri" w:cs="Times New Roman"/>
          <w:sz w:val="24"/>
          <w:szCs w:val="24"/>
        </w:rPr>
        <w:t>Al</w:t>
      </w:r>
      <w:r w:rsidRPr="006A5424">
        <w:rPr>
          <w:rFonts w:ascii="Calibri" w:eastAsia="Calibri" w:hAnsi="Calibri" w:cs="Times New Roman"/>
          <w:sz w:val="24"/>
          <w:szCs w:val="24"/>
          <w:vertAlign w:val="subscript"/>
        </w:rPr>
        <w:t>x</w:t>
      </w:r>
      <w:r w:rsidRPr="006A5424">
        <w:rPr>
          <w:rFonts w:ascii="Calibri" w:eastAsia="Calibri" w:hAnsi="Calibri" w:cs="Times New Roman"/>
          <w:sz w:val="24"/>
          <w:szCs w:val="24"/>
        </w:rPr>
        <w:t>(</w:t>
      </w:r>
      <w:proofErr w:type="gramEnd"/>
      <w:r w:rsidRPr="006A5424">
        <w:rPr>
          <w:rFonts w:ascii="Calibri" w:eastAsia="Calibri" w:hAnsi="Calibri" w:cs="Times New Roman"/>
          <w:sz w:val="24"/>
          <w:szCs w:val="24"/>
        </w:rPr>
        <w:t>PO</w:t>
      </w:r>
      <w:r w:rsidRPr="006A5424">
        <w:rPr>
          <w:rFonts w:ascii="Calibri" w:eastAsia="Calibri" w:hAnsi="Calibri" w:cs="Times New Roman"/>
          <w:sz w:val="24"/>
          <w:szCs w:val="24"/>
          <w:vertAlign w:val="subscript"/>
        </w:rPr>
        <w:t>4</w:t>
      </w:r>
      <w:r w:rsidRPr="006A5424">
        <w:rPr>
          <w:rFonts w:ascii="Calibri" w:eastAsia="Calibri" w:hAnsi="Calibri" w:cs="Times New Roman"/>
          <w:sz w:val="24"/>
          <w:szCs w:val="24"/>
        </w:rPr>
        <w:t>)</w:t>
      </w:r>
      <w:r w:rsidRPr="006A5424">
        <w:rPr>
          <w:rFonts w:ascii="Calibri" w:eastAsia="Calibri" w:hAnsi="Calibri" w:cs="Times New Roman"/>
          <w:sz w:val="24"/>
          <w:szCs w:val="24"/>
          <w:vertAlign w:val="subscript"/>
        </w:rPr>
        <w:t>3</w:t>
      </w:r>
      <w:r w:rsidRPr="006A5424">
        <w:rPr>
          <w:rFonts w:ascii="Calibri" w:eastAsia="Calibri" w:hAnsi="Calibri" w:cs="Times New Roman"/>
          <w:sz w:val="24"/>
          <w:szCs w:val="24"/>
        </w:rPr>
        <w:t xml:space="preserve"> at </w:t>
      </w:r>
      <w:r>
        <w:rPr>
          <w:rFonts w:ascii="Calibri" w:eastAsia="Calibri" w:hAnsi="Calibri" w:cs="Times New Roman"/>
          <w:sz w:val="24"/>
          <w:szCs w:val="24"/>
        </w:rPr>
        <w:t>2</w:t>
      </w:r>
      <w:r w:rsidR="00F67651">
        <w:rPr>
          <w:rFonts w:ascii="Calibri" w:eastAsia="Calibri" w:hAnsi="Calibri" w:cs="Times New Roman"/>
          <w:sz w:val="24"/>
          <w:szCs w:val="24"/>
        </w:rPr>
        <w:t>98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F67651">
        <w:rPr>
          <w:rFonts w:ascii="Calibri" w:eastAsia="Calibri" w:hAnsi="Calibri" w:cs="Times New Roman"/>
          <w:sz w:val="24"/>
          <w:szCs w:val="24"/>
        </w:rPr>
        <w:t>K.</w:t>
      </w:r>
    </w:p>
    <w:tbl>
      <w:tblPr>
        <w:tblStyle w:val="TableGrid1"/>
        <w:tblW w:w="11058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83"/>
        <w:gridCol w:w="2905"/>
        <w:gridCol w:w="2835"/>
        <w:gridCol w:w="2835"/>
      </w:tblGrid>
      <w:tr w:rsidR="008E0D7E" w:rsidRPr="006A5424" w14:paraId="13613429" w14:textId="77777777" w:rsidTr="00A871B5">
        <w:trPr>
          <w:trHeight w:val="624"/>
        </w:trPr>
        <w:tc>
          <w:tcPr>
            <w:tcW w:w="2483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3B6435" w14:textId="77777777" w:rsidR="008E0D7E" w:rsidRPr="006A5424" w:rsidRDefault="008E0D7E" w:rsidP="00A871B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A5424">
              <w:rPr>
                <w:b/>
                <w:sz w:val="24"/>
                <w:szCs w:val="24"/>
              </w:rPr>
              <w:t>Nominal (x)</w:t>
            </w:r>
          </w:p>
        </w:tc>
        <w:tc>
          <w:tcPr>
            <w:tcW w:w="2905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A80065E" w14:textId="77777777" w:rsidR="008E0D7E" w:rsidRPr="006A5424" w:rsidRDefault="008E0D7E" w:rsidP="00A871B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A5424">
              <w:rPr>
                <w:b/>
                <w:sz w:val="24"/>
                <w:szCs w:val="24"/>
              </w:rPr>
              <w:t>∆</w:t>
            </w:r>
            <w:proofErr w:type="spellStart"/>
            <w:r w:rsidRPr="006A5424">
              <w:rPr>
                <w:b/>
                <w:sz w:val="24"/>
                <w:szCs w:val="24"/>
              </w:rPr>
              <w:t>H</w:t>
            </w:r>
            <w:r w:rsidRPr="006A5424">
              <w:rPr>
                <w:b/>
                <w:sz w:val="24"/>
                <w:szCs w:val="24"/>
                <w:vertAlign w:val="subscript"/>
              </w:rPr>
              <w:t>ds</w:t>
            </w:r>
            <w:proofErr w:type="spellEnd"/>
            <w:r w:rsidRPr="006A5424">
              <w:rPr>
                <w:b/>
                <w:sz w:val="24"/>
                <w:szCs w:val="24"/>
              </w:rPr>
              <w:t xml:space="preserve"> (kJ/</w:t>
            </w:r>
            <w:proofErr w:type="spellStart"/>
            <w:r w:rsidRPr="006A5424">
              <w:rPr>
                <w:b/>
                <w:sz w:val="24"/>
                <w:szCs w:val="24"/>
              </w:rPr>
              <w:t>mol</w:t>
            </w:r>
            <w:proofErr w:type="spellEnd"/>
            <w:r w:rsidRPr="006A542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C811811" w14:textId="77777777" w:rsidR="008E0D7E" w:rsidRPr="006A5424" w:rsidRDefault="008E0D7E" w:rsidP="00A871B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A5424">
              <w:rPr>
                <w:b/>
                <w:sz w:val="24"/>
                <w:szCs w:val="24"/>
              </w:rPr>
              <w:t>∆</w:t>
            </w:r>
            <w:proofErr w:type="spellStart"/>
            <w:r w:rsidRPr="006A5424">
              <w:rPr>
                <w:b/>
                <w:sz w:val="24"/>
                <w:szCs w:val="24"/>
              </w:rPr>
              <w:t>H</w:t>
            </w:r>
            <w:r w:rsidRPr="006A5424">
              <w:rPr>
                <w:b/>
                <w:sz w:val="24"/>
                <w:szCs w:val="24"/>
                <w:vertAlign w:val="superscript"/>
              </w:rPr>
              <w:t>o</w:t>
            </w:r>
            <w:r w:rsidRPr="006A5424">
              <w:rPr>
                <w:b/>
                <w:sz w:val="24"/>
                <w:szCs w:val="24"/>
                <w:vertAlign w:val="subscript"/>
              </w:rPr>
              <w:t>f,ox</w:t>
            </w:r>
            <w:proofErr w:type="spellEnd"/>
            <w:r w:rsidRPr="006A5424">
              <w:rPr>
                <w:b/>
                <w:sz w:val="24"/>
                <w:szCs w:val="24"/>
              </w:rPr>
              <w:t xml:space="preserve"> (kJ/</w:t>
            </w:r>
            <w:proofErr w:type="spellStart"/>
            <w:r w:rsidRPr="006A5424">
              <w:rPr>
                <w:b/>
                <w:sz w:val="24"/>
                <w:szCs w:val="24"/>
              </w:rPr>
              <w:t>mol</w:t>
            </w:r>
            <w:proofErr w:type="spellEnd"/>
            <w:r w:rsidRPr="006A542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F852ECC" w14:textId="77777777" w:rsidR="008E0D7E" w:rsidRPr="006A5424" w:rsidRDefault="008E0D7E" w:rsidP="00A871B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6A5424">
              <w:rPr>
                <w:b/>
                <w:sz w:val="24"/>
                <w:szCs w:val="24"/>
              </w:rPr>
              <w:t>∆</w:t>
            </w:r>
            <w:proofErr w:type="spellStart"/>
            <w:r w:rsidRPr="006A5424">
              <w:rPr>
                <w:b/>
                <w:sz w:val="24"/>
                <w:szCs w:val="24"/>
              </w:rPr>
              <w:t>H</w:t>
            </w:r>
            <w:r w:rsidRPr="006A5424">
              <w:rPr>
                <w:b/>
                <w:sz w:val="24"/>
                <w:szCs w:val="24"/>
                <w:vertAlign w:val="superscript"/>
              </w:rPr>
              <w:t>o</w:t>
            </w:r>
            <w:r w:rsidRPr="006A5424">
              <w:rPr>
                <w:b/>
                <w:sz w:val="24"/>
                <w:szCs w:val="24"/>
                <w:vertAlign w:val="subscript"/>
              </w:rPr>
              <w:t>f,el</w:t>
            </w:r>
            <w:proofErr w:type="spellEnd"/>
            <w:r w:rsidRPr="006A5424">
              <w:rPr>
                <w:b/>
                <w:sz w:val="24"/>
                <w:szCs w:val="24"/>
              </w:rPr>
              <w:t xml:space="preserve"> (kJ/</w:t>
            </w:r>
            <w:proofErr w:type="spellStart"/>
            <w:r w:rsidRPr="006A5424">
              <w:rPr>
                <w:b/>
                <w:sz w:val="24"/>
                <w:szCs w:val="24"/>
              </w:rPr>
              <w:t>mol</w:t>
            </w:r>
            <w:proofErr w:type="spellEnd"/>
            <w:r w:rsidRPr="006A5424">
              <w:rPr>
                <w:b/>
                <w:sz w:val="24"/>
                <w:szCs w:val="24"/>
              </w:rPr>
              <w:t>)</w:t>
            </w:r>
          </w:p>
        </w:tc>
      </w:tr>
      <w:tr w:rsidR="008E0D7E" w:rsidRPr="006A5424" w14:paraId="2272703D" w14:textId="77777777" w:rsidTr="00A871B5">
        <w:trPr>
          <w:trHeight w:val="312"/>
        </w:trPr>
        <w:tc>
          <w:tcPr>
            <w:tcW w:w="248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1AB987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0.00</w:t>
            </w:r>
          </w:p>
        </w:tc>
        <w:tc>
          <w:tcPr>
            <w:tcW w:w="290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34C1F1A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391.88±3.65(9)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A51DE9F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-507.54±6.86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D639C1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-4951.68±9.35</w:t>
            </w:r>
          </w:p>
        </w:tc>
      </w:tr>
      <w:tr w:rsidR="008E0D7E" w:rsidRPr="006A5424" w14:paraId="685B9946" w14:textId="77777777" w:rsidTr="00A871B5">
        <w:trPr>
          <w:trHeight w:val="312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8A6CF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0.10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41416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384.81±3.39(9)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3755E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-506.16±6.74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A8E22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-4969.58±9.23</w:t>
            </w:r>
          </w:p>
        </w:tc>
      </w:tr>
      <w:tr w:rsidR="008E0D7E" w:rsidRPr="006A5424" w14:paraId="2F7E9D0A" w14:textId="77777777" w:rsidTr="00A871B5">
        <w:trPr>
          <w:trHeight w:val="32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3F3FD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0.20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F76B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384.55±3.47(10)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79AC9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-511.60±6.97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A05D5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-4994.32±9.46</w:t>
            </w:r>
          </w:p>
        </w:tc>
      </w:tr>
      <w:tr w:rsidR="008E0D7E" w:rsidRPr="006A5424" w14:paraId="5A4ACF34" w14:textId="77777777" w:rsidTr="00A871B5">
        <w:trPr>
          <w:trHeight w:val="326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B4840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0.30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F7AE4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378.73±2.51(12)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A6D25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-511.47±6.15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A0912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-5013.47±8.64</w:t>
            </w:r>
          </w:p>
        </w:tc>
      </w:tr>
      <w:tr w:rsidR="008E0D7E" w:rsidRPr="006A5424" w14:paraId="272DEBD1" w14:textId="77777777" w:rsidTr="00A871B5">
        <w:trPr>
          <w:trHeight w:val="312"/>
        </w:trPr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BEBAA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0.40</w:t>
            </w:r>
          </w:p>
        </w:tc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9035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393.78±5.21(13)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5049E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-532.21±9.00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EF731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-5053.50±11.49</w:t>
            </w:r>
          </w:p>
        </w:tc>
      </w:tr>
      <w:tr w:rsidR="008E0D7E" w:rsidRPr="006A5424" w14:paraId="3BBB98DD" w14:textId="77777777" w:rsidTr="00A871B5">
        <w:trPr>
          <w:trHeight w:val="312"/>
        </w:trPr>
        <w:tc>
          <w:tcPr>
            <w:tcW w:w="24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BC82AD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0.50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EDE0D9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399.52±3.81(8)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D78893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-543.65±7.74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9F3B88" w14:textId="77777777" w:rsidR="008E0D7E" w:rsidRPr="006A5424" w:rsidRDefault="008E0D7E" w:rsidP="00A871B5">
            <w:pPr>
              <w:spacing w:after="200" w:line="276" w:lineRule="auto"/>
              <w:rPr>
                <w:sz w:val="24"/>
                <w:szCs w:val="24"/>
              </w:rPr>
            </w:pPr>
            <w:r w:rsidRPr="006A5424">
              <w:rPr>
                <w:sz w:val="24"/>
                <w:szCs w:val="24"/>
              </w:rPr>
              <w:t>-5084.23±10.23</w:t>
            </w:r>
          </w:p>
        </w:tc>
      </w:tr>
    </w:tbl>
    <w:p w14:paraId="26E42290" w14:textId="77777777" w:rsidR="008E0D7E" w:rsidRPr="004E1B53" w:rsidRDefault="008E0D7E" w:rsidP="008E0D7E">
      <w:pPr>
        <w:ind w:left="-993"/>
        <w:jc w:val="both"/>
        <w:rPr>
          <w:rFonts w:ascii="Calibri" w:eastAsia="Calibri" w:hAnsi="Calibri" w:cs="Times New Roman"/>
        </w:rPr>
      </w:pPr>
      <w:r w:rsidRPr="004E1B53">
        <w:rPr>
          <w:rFonts w:ascii="Calibri" w:eastAsia="Calibri" w:hAnsi="Calibri" w:cs="Times New Roman"/>
        </w:rPr>
        <w:t>Error represents two standard deviations of the mean, and value in () is the number of drop experiments performed.</w:t>
      </w:r>
    </w:p>
    <w:p w14:paraId="6089A233" w14:textId="07980FD5" w:rsidR="0029136C" w:rsidRDefault="0029136C">
      <w:pPr>
        <w:rPr>
          <w:sz w:val="24"/>
          <w:szCs w:val="24"/>
        </w:rPr>
      </w:pPr>
    </w:p>
    <w:p w14:paraId="16AE16E7" w14:textId="29C49B28" w:rsidR="0029136C" w:rsidRPr="00D66F35" w:rsidRDefault="0029136C" w:rsidP="008F41C6">
      <w:pPr>
        <w:ind w:left="-992" w:right="-516"/>
        <w:jc w:val="both"/>
        <w:rPr>
          <w:rFonts w:ascii="Calibri" w:eastAsia="Calibri" w:hAnsi="Calibri" w:cs="Times New Roman"/>
          <w:sz w:val="24"/>
          <w:szCs w:val="24"/>
        </w:rPr>
      </w:pPr>
      <w:r w:rsidRPr="00CD099D">
        <w:rPr>
          <w:rFonts w:ascii="Calibri" w:eastAsia="Calibri" w:hAnsi="Calibri" w:cs="Times New Roman"/>
          <w:color w:val="0000FF"/>
          <w:sz w:val="24"/>
          <w:szCs w:val="24"/>
        </w:rPr>
        <w:t>Table S3</w:t>
      </w:r>
      <w:r w:rsidRPr="00D66F35">
        <w:rPr>
          <w:rFonts w:ascii="Calibri" w:eastAsia="Calibri" w:hAnsi="Calibri" w:cs="Times New Roman"/>
          <w:b/>
          <w:sz w:val="24"/>
          <w:szCs w:val="24"/>
        </w:rPr>
        <w:t>.</w:t>
      </w:r>
      <w:r w:rsidRPr="00D66F35">
        <w:rPr>
          <w:rFonts w:ascii="Calibri" w:eastAsia="Calibri" w:hAnsi="Calibri" w:cs="Times New Roman"/>
          <w:sz w:val="24"/>
          <w:szCs w:val="24"/>
        </w:rPr>
        <w:t xml:space="preserve"> Thermodynamic cycle used to calculate the enthalpies of formation of Li</w:t>
      </w:r>
      <w:r w:rsidRPr="00D66F35">
        <w:rPr>
          <w:rFonts w:ascii="Calibri" w:eastAsia="Calibri" w:hAnsi="Calibri" w:cs="Times New Roman"/>
          <w:sz w:val="24"/>
          <w:szCs w:val="24"/>
          <w:vertAlign w:val="subscript"/>
        </w:rPr>
        <w:t>1+x</w:t>
      </w:r>
      <w:r w:rsidRPr="00D66F35">
        <w:rPr>
          <w:rFonts w:ascii="Calibri" w:eastAsia="Calibri" w:hAnsi="Calibri" w:cs="Times New Roman"/>
          <w:sz w:val="24"/>
          <w:szCs w:val="24"/>
        </w:rPr>
        <w:t>Ti</w:t>
      </w:r>
      <w:r w:rsidRPr="00D66F35">
        <w:rPr>
          <w:rFonts w:ascii="Calibri" w:eastAsia="Calibri" w:hAnsi="Calibri" w:cs="Times New Roman"/>
          <w:sz w:val="24"/>
          <w:szCs w:val="24"/>
          <w:vertAlign w:val="subscript"/>
        </w:rPr>
        <w:t>2-</w:t>
      </w:r>
      <w:proofErr w:type="gramStart"/>
      <w:r w:rsidRPr="00D66F35">
        <w:rPr>
          <w:rFonts w:ascii="Calibri" w:eastAsia="Calibri" w:hAnsi="Calibri" w:cs="Times New Roman"/>
          <w:sz w:val="24"/>
          <w:szCs w:val="24"/>
          <w:vertAlign w:val="subscript"/>
        </w:rPr>
        <w:t>x</w:t>
      </w:r>
      <w:r w:rsidRPr="00D66F35">
        <w:rPr>
          <w:rFonts w:ascii="Calibri" w:eastAsia="Calibri" w:hAnsi="Calibri" w:cs="Times New Roman"/>
          <w:sz w:val="24"/>
          <w:szCs w:val="24"/>
        </w:rPr>
        <w:t>Al</w:t>
      </w:r>
      <w:r w:rsidRPr="00D66F35">
        <w:rPr>
          <w:rFonts w:ascii="Calibri" w:eastAsia="Calibri" w:hAnsi="Calibri" w:cs="Times New Roman"/>
          <w:sz w:val="24"/>
          <w:szCs w:val="24"/>
          <w:vertAlign w:val="subscript"/>
        </w:rPr>
        <w:t>x</w:t>
      </w:r>
      <w:r w:rsidRPr="00D66F35">
        <w:rPr>
          <w:rFonts w:ascii="Calibri" w:eastAsia="Calibri" w:hAnsi="Calibri" w:cs="Times New Roman"/>
          <w:sz w:val="24"/>
          <w:szCs w:val="24"/>
        </w:rPr>
        <w:t>(</w:t>
      </w:r>
      <w:proofErr w:type="gramEnd"/>
      <w:r w:rsidRPr="00D66F35">
        <w:rPr>
          <w:rFonts w:ascii="Calibri" w:eastAsia="Calibri" w:hAnsi="Calibri" w:cs="Times New Roman"/>
          <w:sz w:val="24"/>
          <w:szCs w:val="24"/>
        </w:rPr>
        <w:t>PO</w:t>
      </w:r>
      <w:r w:rsidRPr="00D66F35">
        <w:rPr>
          <w:rFonts w:ascii="Calibri" w:eastAsia="Calibri" w:hAnsi="Calibri" w:cs="Times New Roman"/>
          <w:sz w:val="24"/>
          <w:szCs w:val="24"/>
          <w:vertAlign w:val="subscript"/>
        </w:rPr>
        <w:t>4</w:t>
      </w:r>
      <w:r w:rsidRPr="00D66F35">
        <w:rPr>
          <w:rFonts w:ascii="Calibri" w:eastAsia="Calibri" w:hAnsi="Calibri" w:cs="Times New Roman"/>
          <w:sz w:val="24"/>
          <w:szCs w:val="24"/>
        </w:rPr>
        <w:t>)</w:t>
      </w:r>
      <w:r w:rsidRPr="00D66F35">
        <w:rPr>
          <w:rFonts w:ascii="Calibri" w:eastAsia="Calibri" w:hAnsi="Calibri" w:cs="Times New Roman"/>
          <w:sz w:val="24"/>
          <w:szCs w:val="24"/>
          <w:vertAlign w:val="subscript"/>
        </w:rPr>
        <w:t>3</w:t>
      </w:r>
      <w:r w:rsidRPr="00D66F35">
        <w:rPr>
          <w:rFonts w:ascii="Calibri" w:eastAsia="Calibri" w:hAnsi="Calibri" w:cs="Times New Roman"/>
          <w:sz w:val="24"/>
          <w:szCs w:val="24"/>
        </w:rPr>
        <w:t xml:space="preserve"> from elements</w:t>
      </w:r>
      <w:r w:rsidR="00B504A2">
        <w:rPr>
          <w:rFonts w:ascii="Calibri" w:eastAsia="Calibri" w:hAnsi="Calibri" w:cs="Times New Roman"/>
          <w:sz w:val="24"/>
          <w:szCs w:val="24"/>
        </w:rPr>
        <w:t>.</w:t>
      </w:r>
    </w:p>
    <w:tbl>
      <w:tblPr>
        <w:tblW w:w="1116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648"/>
        <w:gridCol w:w="1809"/>
      </w:tblGrid>
      <w:tr w:rsidR="0029136C" w:rsidRPr="00D66F35" w14:paraId="468634AF" w14:textId="77777777" w:rsidTr="00FF7DD0">
        <w:trPr>
          <w:trHeight w:val="807"/>
        </w:trPr>
        <w:tc>
          <w:tcPr>
            <w:tcW w:w="7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FB162A7" w14:textId="77777777" w:rsidR="0029136C" w:rsidRPr="00D66F35" w:rsidRDefault="0029136C" w:rsidP="00A871B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Eq.</w:t>
            </w:r>
          </w:p>
        </w:tc>
        <w:tc>
          <w:tcPr>
            <w:tcW w:w="864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3226620" w14:textId="77777777" w:rsidR="0029136C" w:rsidRPr="00D66F35" w:rsidRDefault="0029136C" w:rsidP="00A871B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Reaction</w:t>
            </w:r>
          </w:p>
        </w:tc>
        <w:tc>
          <w:tcPr>
            <w:tcW w:w="180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9B4C214" w14:textId="77777777" w:rsidR="0029136C" w:rsidRPr="00D66F35" w:rsidRDefault="0029136C" w:rsidP="00A871B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Heat effect</w:t>
            </w:r>
          </w:p>
        </w:tc>
      </w:tr>
      <w:tr w:rsidR="0029136C" w:rsidRPr="00D66F35" w14:paraId="353874EE" w14:textId="77777777" w:rsidTr="00FF7DD0">
        <w:trPr>
          <w:trHeight w:val="499"/>
        </w:trPr>
        <w:tc>
          <w:tcPr>
            <w:tcW w:w="70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FF8FD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</w:p>
        </w:tc>
        <w:tc>
          <w:tcPr>
            <w:tcW w:w="864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FCC78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2Li (s, </w:t>
            </w:r>
            <w:r w:rsidRPr="00927861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+ 1/2O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(g, </w:t>
            </w:r>
            <w:r w:rsidRPr="00927861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→ Li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O (s, </w:t>
            </w:r>
            <w:r w:rsidRPr="00B21366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0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C0CE" w14:textId="6ACA48BC" w:rsidR="0029136C" w:rsidRPr="00D66F35" w:rsidRDefault="0029136C" w:rsidP="00FF7D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f</w:t>
            </w:r>
            <w:r w:rsidR="008A26B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,el</w:t>
            </w:r>
            <w:proofErr w:type="spellEnd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(Li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O)</w:t>
            </w:r>
            <w:r w:rsidR="00FF7DD0">
              <w:rPr>
                <w:rFonts w:ascii="Calibri" w:eastAsia="Calibri" w:hAnsi="Calibri" w:cs="Times New Roman"/>
                <w:color w:val="FF0000"/>
                <w:sz w:val="24"/>
                <w:szCs w:val="24"/>
              </w:rPr>
              <w:t xml:space="preserve"> </w:t>
            </w:r>
            <w:r w:rsidR="00FF7DD0" w:rsidRPr="00FF7DD0">
              <w:rPr>
                <w:rFonts w:ascii="Calibri" w:eastAsia="Calibri" w:hAnsi="Calibri" w:cs="Times New Roman"/>
                <w:color w:val="0000CC"/>
                <w:sz w:val="24"/>
                <w:szCs w:val="24"/>
                <w:vertAlign w:val="superscript"/>
              </w:rPr>
              <w:t>10</w:t>
            </w:r>
          </w:p>
        </w:tc>
      </w:tr>
      <w:tr w:rsidR="0029136C" w:rsidRPr="00D66F35" w14:paraId="24B25E7D" w14:textId="77777777" w:rsidTr="00FF7DD0">
        <w:trPr>
          <w:trHeight w:val="81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A9CFC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II</w:t>
            </w:r>
          </w:p>
        </w:tc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572D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Ti</w:t>
            </w:r>
            <w:proofErr w:type="spellEnd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5B62E4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+ 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(g, </w:t>
            </w:r>
            <w:r w:rsidRPr="005B62E4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→ TiO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5B62E4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E14D7" w14:textId="7AEB6306" w:rsidR="0029136C" w:rsidRPr="00D66F35" w:rsidRDefault="0029136C" w:rsidP="00FF7D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f</w:t>
            </w:r>
            <w:r w:rsidR="008A26B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,el</w:t>
            </w:r>
            <w:proofErr w:type="spellEnd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(TiO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  <w:r w:rsidR="00FF7D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F7DD0" w:rsidRPr="00FF7DD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11</w:t>
            </w:r>
          </w:p>
        </w:tc>
      </w:tr>
      <w:tr w:rsidR="0029136C" w:rsidRPr="00D66F35" w14:paraId="34AD0F8A" w14:textId="77777777" w:rsidTr="00FF7DD0">
        <w:trPr>
          <w:trHeight w:val="8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A7EA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III</w:t>
            </w:r>
          </w:p>
        </w:tc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B94A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2Al (s, </w:t>
            </w:r>
            <w:r w:rsidRPr="00543459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+ 3/2 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(g, </w:t>
            </w:r>
            <w:r w:rsidRPr="00543459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→ Al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3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543459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61A54" w14:textId="25B29BAE" w:rsidR="0029136C" w:rsidRPr="00D66F35" w:rsidRDefault="0029136C" w:rsidP="00FF7D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f</w:t>
            </w:r>
            <w:r w:rsidR="008A26B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,el</w:t>
            </w:r>
            <w:proofErr w:type="spellEnd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(Al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3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  <w:r w:rsidR="00FF7D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F7DD0" w:rsidRPr="00FF7DD0">
              <w:rPr>
                <w:rFonts w:ascii="Calibri" w:eastAsia="Calibri" w:hAnsi="Calibri" w:cs="Times New Roman"/>
                <w:color w:val="0000CC"/>
                <w:sz w:val="24"/>
                <w:szCs w:val="24"/>
                <w:vertAlign w:val="superscript"/>
              </w:rPr>
              <w:t>11</w:t>
            </w:r>
          </w:p>
        </w:tc>
      </w:tr>
      <w:tr w:rsidR="0029136C" w:rsidRPr="00D66F35" w14:paraId="54E563A4" w14:textId="77777777" w:rsidTr="00FF7DD0">
        <w:trPr>
          <w:trHeight w:val="8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9E0E5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IV</w:t>
            </w:r>
          </w:p>
        </w:tc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5A123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2P (s, </w:t>
            </w:r>
            <w:r w:rsidRPr="00D623E0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+ 5/2 O</w:t>
            </w:r>
            <w:r w:rsidRPr="00B21F0C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(g, </w:t>
            </w:r>
            <w:r w:rsidRPr="00D623E0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→ P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5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D623E0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37D93" w14:textId="6880AA1F" w:rsidR="0029136C" w:rsidRPr="00D66F35" w:rsidRDefault="0029136C" w:rsidP="00FF7DD0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f</w:t>
            </w:r>
            <w:r w:rsidR="008A26B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,el</w:t>
            </w:r>
            <w:proofErr w:type="spellEnd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(P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5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  <w:r w:rsidR="00FF7DD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="00FF7DD0" w:rsidRPr="00FF7DD0">
              <w:rPr>
                <w:rFonts w:ascii="Calibri" w:eastAsia="Calibri" w:hAnsi="Calibri" w:cs="Times New Roman"/>
                <w:color w:val="0000CC"/>
                <w:sz w:val="24"/>
                <w:szCs w:val="24"/>
                <w:vertAlign w:val="superscript"/>
              </w:rPr>
              <w:t>8</w:t>
            </w:r>
          </w:p>
        </w:tc>
      </w:tr>
      <w:tr w:rsidR="0029136C" w:rsidRPr="00D66F35" w14:paraId="2E220F68" w14:textId="77777777" w:rsidTr="00FF7DD0">
        <w:trPr>
          <w:trHeight w:val="8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C725A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V</w:t>
            </w:r>
          </w:p>
        </w:tc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BD67C" w14:textId="77777777" w:rsidR="0029136C" w:rsidRPr="00D66F35" w:rsidRDefault="0029136C" w:rsidP="00CA6EA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(1+x)/2 Li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O (s, </w:t>
            </w:r>
            <w:r w:rsidRPr="00974049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+ (2-x) TiO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974049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+ x/2 Al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3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974049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+ 3/2 P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5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974049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→ Li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1+x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Ti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2-x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Al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x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P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3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12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974049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0538D" w14:textId="34DA86D2" w:rsidR="0029136C" w:rsidRPr="009B6CFD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f,ox</w:t>
            </w:r>
            <w:proofErr w:type="spellEnd"/>
            <w:r w:rsidR="009B6CFD">
              <w:rPr>
                <w:rFonts w:ascii="Calibri" w:eastAsia="Calibri" w:hAnsi="Calibri" w:cs="Times New Roman"/>
                <w:sz w:val="24"/>
                <w:szCs w:val="24"/>
              </w:rPr>
              <w:t xml:space="preserve"> (LATP)</w:t>
            </w:r>
          </w:p>
        </w:tc>
      </w:tr>
      <w:tr w:rsidR="0029136C" w:rsidRPr="00D66F35" w14:paraId="5D7512E1" w14:textId="77777777" w:rsidTr="00FF7DD0">
        <w:trPr>
          <w:trHeight w:val="8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5D1AF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VI</w:t>
            </w:r>
          </w:p>
        </w:tc>
        <w:tc>
          <w:tcPr>
            <w:tcW w:w="8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A1CA9" w14:textId="26726E57" w:rsidR="0029136C" w:rsidRPr="00D66F35" w:rsidRDefault="0029136C" w:rsidP="00CA6EAA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(1+x) Li (s, </w:t>
            </w:r>
            <w:r w:rsidRPr="00501A0F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) + (2-x) </w:t>
            </w:r>
            <w:proofErr w:type="spellStart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Ti</w:t>
            </w:r>
            <w:proofErr w:type="spellEnd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501A0F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) + x Al (s, </w:t>
            </w:r>
            <w:r w:rsidRPr="00501A0F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) + 3 P (s, </w:t>
            </w:r>
            <w:r w:rsidRPr="00501A0F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+ 6O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</w:t>
            </w:r>
            <w:r w:rsidR="001D012E">
              <w:rPr>
                <w:rFonts w:ascii="Calibri" w:eastAsia="Calibri" w:hAnsi="Calibri" w:cs="Times New Roman"/>
                <w:sz w:val="24"/>
                <w:szCs w:val="24"/>
              </w:rPr>
              <w:t>g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Pr="00501A0F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 → Li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1+x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Ti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2-x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Al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x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P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3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12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Pr="00501A0F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A636D" w14:textId="6AAE1EA5" w:rsidR="0029136C" w:rsidRPr="009B6CFD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6F35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f,el</w:t>
            </w:r>
            <w:proofErr w:type="spellEnd"/>
            <w:r w:rsidR="009B6CFD">
              <w:rPr>
                <w:rFonts w:ascii="Calibri" w:eastAsia="Calibri" w:hAnsi="Calibri" w:cs="Times New Roman"/>
                <w:sz w:val="24"/>
                <w:szCs w:val="24"/>
              </w:rPr>
              <w:t xml:space="preserve"> (LATP)</w:t>
            </w:r>
          </w:p>
        </w:tc>
      </w:tr>
      <w:tr w:rsidR="0029136C" w:rsidRPr="00D66F35" w14:paraId="53742CD4" w14:textId="77777777" w:rsidTr="00FF7DD0">
        <w:trPr>
          <w:trHeight w:val="511"/>
        </w:trPr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F622A1C" w14:textId="77777777" w:rsidR="0029136C" w:rsidRPr="007E0374" w:rsidRDefault="0029136C" w:rsidP="00A871B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E0374">
              <w:rPr>
                <w:rFonts w:ascii="Calibri" w:eastAsia="Calibri" w:hAnsi="Calibri" w:cs="Times New Roman"/>
                <w:b/>
                <w:sz w:val="24"/>
                <w:szCs w:val="24"/>
              </w:rPr>
              <w:t>VII</w:t>
            </w:r>
          </w:p>
        </w:tc>
        <w:tc>
          <w:tcPr>
            <w:tcW w:w="864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23F6755A" w14:textId="77777777" w:rsidR="0029136C" w:rsidRPr="00D66F35" w:rsidRDefault="0029136C" w:rsidP="00A871B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proofErr w:type="spellStart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f,el</w:t>
            </w:r>
            <w:proofErr w:type="spellEnd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= (1+x)/2ΔH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o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f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(Li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O) + (2-x) </w:t>
            </w:r>
            <w:proofErr w:type="spellStart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o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f</w:t>
            </w:r>
            <w:proofErr w:type="spellEnd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(TiO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) + x/2 </w:t>
            </w:r>
            <w:proofErr w:type="spellStart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o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f</w:t>
            </w:r>
            <w:proofErr w:type="spellEnd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(Al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3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) + 3/2 </w:t>
            </w:r>
            <w:proofErr w:type="spellStart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o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f</w:t>
            </w:r>
            <w:proofErr w:type="spellEnd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(P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2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O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5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) + </w:t>
            </w:r>
            <w:proofErr w:type="spellStart"/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</w:rPr>
              <w:t>ΔH</w:t>
            </w:r>
            <w:r w:rsidRPr="00D66F35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f,ox</w:t>
            </w:r>
            <w:proofErr w:type="spellEnd"/>
          </w:p>
        </w:tc>
        <w:tc>
          <w:tcPr>
            <w:tcW w:w="18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100B6DE" w14:textId="77777777" w:rsidR="0029136C" w:rsidRPr="00D66F35" w:rsidRDefault="0029136C" w:rsidP="00A871B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94D924B" w14:textId="401B4D09" w:rsidR="00E35234" w:rsidRPr="002407DF" w:rsidRDefault="00E35234">
      <w:pPr>
        <w:rPr>
          <w:rFonts w:ascii="Calibri" w:eastAsia="Calibri" w:hAnsi="Calibri" w:cs="Times New Roman"/>
          <w:sz w:val="24"/>
          <w:szCs w:val="24"/>
        </w:rPr>
      </w:pPr>
    </w:p>
    <w:p w14:paraId="00C17258" w14:textId="30B87948" w:rsidR="00D32803" w:rsidRPr="00D32803" w:rsidRDefault="00D32803" w:rsidP="00447CE6">
      <w:pPr>
        <w:spacing w:line="360" w:lineRule="auto"/>
        <w:ind w:left="-992" w:right="-516"/>
        <w:jc w:val="both"/>
        <w:rPr>
          <w:rFonts w:ascii="Calibri" w:eastAsia="Calibri" w:hAnsi="Calibri" w:cs="Times New Roman"/>
          <w:sz w:val="24"/>
          <w:szCs w:val="24"/>
        </w:rPr>
      </w:pPr>
      <w:r w:rsidRPr="00D32803">
        <w:rPr>
          <w:rFonts w:ascii="Calibri" w:eastAsia="Calibri" w:hAnsi="Calibri" w:cs="Times New Roman"/>
          <w:color w:val="0000FF"/>
          <w:sz w:val="24"/>
          <w:szCs w:val="24"/>
        </w:rPr>
        <w:lastRenderedPageBreak/>
        <w:t xml:space="preserve">Table </w:t>
      </w:r>
      <w:r w:rsidRPr="00A3292D">
        <w:rPr>
          <w:rFonts w:ascii="Calibri" w:eastAsia="Calibri" w:hAnsi="Calibri" w:cs="Times New Roman"/>
          <w:color w:val="0000FF"/>
          <w:sz w:val="24"/>
          <w:szCs w:val="24"/>
        </w:rPr>
        <w:t>S</w:t>
      </w:r>
      <w:r w:rsidR="003361F2">
        <w:rPr>
          <w:rFonts w:ascii="Calibri" w:eastAsia="Calibri" w:hAnsi="Calibri" w:cs="Times New Roman"/>
          <w:color w:val="0000FF"/>
          <w:sz w:val="24"/>
          <w:szCs w:val="24"/>
        </w:rPr>
        <w:t>4</w:t>
      </w:r>
      <w:r w:rsidRPr="00D32803">
        <w:rPr>
          <w:rFonts w:ascii="Calibri" w:eastAsia="Calibri" w:hAnsi="Calibri" w:cs="Times New Roman"/>
          <w:b/>
          <w:sz w:val="24"/>
          <w:szCs w:val="24"/>
        </w:rPr>
        <w:t>.</w:t>
      </w:r>
      <w:r w:rsidRPr="00D32803">
        <w:rPr>
          <w:rFonts w:ascii="Calibri" w:eastAsia="Calibri" w:hAnsi="Calibri" w:cs="Times New Roman"/>
          <w:sz w:val="24"/>
          <w:szCs w:val="24"/>
        </w:rPr>
        <w:t xml:space="preserve"> Thermodynamic cycle used to calculate the drop solution enthalpy of Li</w:t>
      </w:r>
      <w:r w:rsidRPr="00D32803">
        <w:rPr>
          <w:rFonts w:ascii="Calibri" w:eastAsia="Calibri" w:hAnsi="Calibri" w:cs="Times New Roman"/>
          <w:sz w:val="24"/>
          <w:szCs w:val="24"/>
          <w:vertAlign w:val="subscript"/>
        </w:rPr>
        <w:t>2</w:t>
      </w:r>
      <w:r w:rsidRPr="00D32803">
        <w:rPr>
          <w:rFonts w:ascii="Calibri" w:eastAsia="Calibri" w:hAnsi="Calibri" w:cs="Times New Roman"/>
          <w:sz w:val="24"/>
          <w:szCs w:val="24"/>
        </w:rPr>
        <w:t>O in sodium molybdate</w:t>
      </w:r>
      <w:r w:rsidR="00442FF7">
        <w:rPr>
          <w:rFonts w:ascii="Calibri" w:eastAsia="Calibri" w:hAnsi="Calibri" w:cs="Times New Roman"/>
          <w:sz w:val="24"/>
          <w:szCs w:val="24"/>
        </w:rPr>
        <w:t xml:space="preserve"> (3Na</w:t>
      </w:r>
      <w:r w:rsidR="00442FF7" w:rsidRPr="00442FF7">
        <w:rPr>
          <w:rFonts w:ascii="Calibri" w:eastAsia="Calibri" w:hAnsi="Calibri" w:cs="Times New Roman"/>
          <w:sz w:val="24"/>
          <w:szCs w:val="24"/>
          <w:vertAlign w:val="subscript"/>
        </w:rPr>
        <w:t>2</w:t>
      </w:r>
      <w:r w:rsidR="00442FF7">
        <w:rPr>
          <w:rFonts w:ascii="Calibri" w:eastAsia="Calibri" w:hAnsi="Calibri" w:cs="Times New Roman"/>
          <w:sz w:val="24"/>
          <w:szCs w:val="24"/>
        </w:rPr>
        <w:t>O∙4MoO</w:t>
      </w:r>
      <w:r w:rsidR="00442FF7" w:rsidRPr="00442FF7">
        <w:rPr>
          <w:rFonts w:ascii="Calibri" w:eastAsia="Calibri" w:hAnsi="Calibri" w:cs="Times New Roman"/>
          <w:sz w:val="24"/>
          <w:szCs w:val="24"/>
          <w:vertAlign w:val="subscript"/>
        </w:rPr>
        <w:t>3</w:t>
      </w:r>
      <w:r w:rsidR="00442FF7">
        <w:rPr>
          <w:rFonts w:ascii="Calibri" w:eastAsia="Calibri" w:hAnsi="Calibri" w:cs="Times New Roman"/>
          <w:sz w:val="24"/>
          <w:szCs w:val="24"/>
        </w:rPr>
        <w:t xml:space="preserve">) </w:t>
      </w:r>
      <w:r w:rsidRPr="00D32803">
        <w:rPr>
          <w:rFonts w:ascii="Calibri" w:eastAsia="Calibri" w:hAnsi="Calibri" w:cs="Times New Roman"/>
          <w:sz w:val="24"/>
          <w:szCs w:val="24"/>
        </w:rPr>
        <w:t xml:space="preserve">at </w:t>
      </w:r>
      <w:r w:rsidR="00432725">
        <w:rPr>
          <w:rFonts w:ascii="Calibri" w:eastAsia="Calibri" w:hAnsi="Calibri" w:cs="Times New Roman"/>
          <w:sz w:val="24"/>
          <w:szCs w:val="24"/>
        </w:rPr>
        <w:t>1073 K</w:t>
      </w:r>
      <w:r w:rsidRPr="00D32803">
        <w:rPr>
          <w:rFonts w:ascii="Calibri" w:eastAsia="Calibri" w:hAnsi="Calibri" w:cs="Times New Roman"/>
          <w:sz w:val="24"/>
          <w:szCs w:val="24"/>
        </w:rPr>
        <w:t>.</w:t>
      </w:r>
    </w:p>
    <w:tbl>
      <w:tblPr>
        <w:tblW w:w="1115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067"/>
        <w:gridCol w:w="4327"/>
      </w:tblGrid>
      <w:tr w:rsidR="00D32803" w:rsidRPr="00D32803" w14:paraId="5E3CF78C" w14:textId="77777777" w:rsidTr="00612BC9">
        <w:trPr>
          <w:trHeight w:val="356"/>
        </w:trPr>
        <w:tc>
          <w:tcPr>
            <w:tcW w:w="76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184C4641" w14:textId="77777777" w:rsidR="00D32803" w:rsidRPr="00D32803" w:rsidRDefault="00D32803" w:rsidP="00612BC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>Eq.</w:t>
            </w:r>
          </w:p>
        </w:tc>
        <w:tc>
          <w:tcPr>
            <w:tcW w:w="60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412FEC81" w14:textId="77777777" w:rsidR="00D32803" w:rsidRPr="00D32803" w:rsidRDefault="00D32803" w:rsidP="00612BC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>Reaction</w:t>
            </w:r>
          </w:p>
        </w:tc>
        <w:tc>
          <w:tcPr>
            <w:tcW w:w="43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6690DB61" w14:textId="77777777" w:rsidR="00D32803" w:rsidRPr="00D32803" w:rsidRDefault="00D32803" w:rsidP="00612BC9">
            <w:pPr>
              <w:spacing w:after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>Heat effect</w:t>
            </w:r>
          </w:p>
        </w:tc>
      </w:tr>
      <w:tr w:rsidR="00D32803" w:rsidRPr="00D32803" w14:paraId="25D966F7" w14:textId="77777777" w:rsidTr="00612BC9">
        <w:trPr>
          <w:trHeight w:val="472"/>
        </w:trPr>
        <w:tc>
          <w:tcPr>
            <w:tcW w:w="76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F1917F" w14:textId="77777777" w:rsidR="00D32803" w:rsidRPr="00D32803" w:rsidRDefault="00D32803" w:rsidP="00D328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I</w:t>
            </w:r>
          </w:p>
        </w:tc>
        <w:tc>
          <w:tcPr>
            <w:tcW w:w="60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79498" w14:textId="75C6C7F4" w:rsidR="00D32803" w:rsidRPr="00D32803" w:rsidRDefault="00D32803" w:rsidP="004327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Li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CO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3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 → Li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O (</w:t>
            </w:r>
            <w:proofErr w:type="spellStart"/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soln</w:t>
            </w:r>
            <w:proofErr w:type="spellEnd"/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1073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 + CO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 (g,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1073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32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C74CB" w14:textId="77777777" w:rsidR="00D32803" w:rsidRPr="00D32803" w:rsidRDefault="00D32803" w:rsidP="00D328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ds,1</w:t>
            </w:r>
            <w:r w:rsidR="006D4B16">
              <w:rPr>
                <w:rFonts w:ascii="Calibri" w:eastAsia="Calibri" w:hAnsi="Calibri" w:cs="Times New Roman"/>
                <w:sz w:val="24"/>
                <w:szCs w:val="24"/>
              </w:rPr>
              <w:t xml:space="preserve"> = </w:t>
            </w:r>
            <w:r w:rsidR="0048689A">
              <w:rPr>
                <w:rFonts w:ascii="Calibri" w:eastAsia="Calibri" w:hAnsi="Calibri" w:cs="Times New Roman"/>
                <w:sz w:val="24"/>
                <w:szCs w:val="24"/>
              </w:rPr>
              <w:t>183.99 ± 0.33(8)</w:t>
            </w:r>
            <w:r w:rsidR="00A50DF8">
              <w:rPr>
                <w:rFonts w:ascii="Calibri" w:eastAsia="Calibri" w:hAnsi="Calibri" w:cs="Times New Roman"/>
                <w:sz w:val="24"/>
                <w:szCs w:val="24"/>
              </w:rPr>
              <w:t xml:space="preserve"> kJ/mol</w:t>
            </w:r>
          </w:p>
        </w:tc>
      </w:tr>
      <w:tr w:rsidR="00D32803" w:rsidRPr="00D32803" w14:paraId="26116A3F" w14:textId="77777777" w:rsidTr="00612BC9">
        <w:trPr>
          <w:trHeight w:val="48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FD5B1" w14:textId="77777777" w:rsidR="00D32803" w:rsidRPr="00D32803" w:rsidRDefault="00D32803" w:rsidP="00D328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II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5B77A" w14:textId="1C03B973" w:rsidR="00D32803" w:rsidRPr="00D32803" w:rsidRDefault="00D32803" w:rsidP="004327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Li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O (s,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 → Li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O (</w:t>
            </w:r>
            <w:proofErr w:type="spellStart"/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soln</w:t>
            </w:r>
            <w:proofErr w:type="spellEnd"/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1073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C8470" w14:textId="05328122" w:rsidR="00D32803" w:rsidRPr="00801B6B" w:rsidRDefault="00D32803" w:rsidP="00D328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ds,2</w:t>
            </w:r>
            <w:r w:rsidR="00801B6B">
              <w:rPr>
                <w:rFonts w:ascii="Calibri" w:eastAsia="Calibri" w:hAnsi="Calibri" w:cs="Times New Roman"/>
                <w:sz w:val="24"/>
                <w:szCs w:val="24"/>
              </w:rPr>
              <w:t xml:space="preserve"> = -77.21 </w:t>
            </w:r>
            <w:r w:rsidR="00801B6B" w:rsidRPr="00801B6B">
              <w:rPr>
                <w:rFonts w:ascii="Calibri" w:eastAsia="Calibri" w:hAnsi="Calibri" w:cs="Times New Roman"/>
                <w:sz w:val="24"/>
                <w:szCs w:val="24"/>
              </w:rPr>
              <w:t xml:space="preserve">± </w:t>
            </w:r>
            <w:r w:rsidR="00801B6B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801B6B" w:rsidRPr="00801B6B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  <w:r w:rsidR="00801B6B"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  <w:r w:rsidR="00801B6B" w:rsidRPr="00801B6B">
              <w:rPr>
                <w:rFonts w:ascii="Calibri" w:eastAsia="Calibri" w:hAnsi="Calibri" w:cs="Times New Roman"/>
                <w:sz w:val="24"/>
                <w:szCs w:val="24"/>
              </w:rPr>
              <w:t xml:space="preserve"> kJ/mol</w:t>
            </w:r>
          </w:p>
        </w:tc>
      </w:tr>
      <w:tr w:rsidR="00D32803" w:rsidRPr="00D32803" w14:paraId="374F50D6" w14:textId="77777777" w:rsidTr="00612BC9">
        <w:trPr>
          <w:trHeight w:val="48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5B726" w14:textId="77777777" w:rsidR="00D32803" w:rsidRPr="00D32803" w:rsidRDefault="00D32803" w:rsidP="00D328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III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FF27E" w14:textId="76ED2C75" w:rsidR="00D32803" w:rsidRPr="00D32803" w:rsidRDefault="00D32803" w:rsidP="004327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CO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 → CO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 (g,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1073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67C68" w14:textId="73EC9927" w:rsidR="00D32803" w:rsidRPr="00D32803" w:rsidRDefault="00D32803" w:rsidP="00D328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CO2</w:t>
            </w:r>
            <w:r w:rsidR="002B74BE">
              <w:rPr>
                <w:rFonts w:ascii="Calibri" w:eastAsia="Calibri" w:hAnsi="Calibri" w:cs="Times New Roman"/>
                <w:sz w:val="24"/>
                <w:szCs w:val="24"/>
              </w:rPr>
              <w:t xml:space="preserve"> = </w:t>
            </w:r>
            <m:oMath>
              <m:nary>
                <m:naryPr>
                  <m:limLoc m:val="undOvr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298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</w:rPr>
                    <m:t>1073</m:t>
                  </m:r>
                </m:sup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</m:e>
              </m:nary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dT</m:t>
              </m:r>
            </m:oMath>
          </w:p>
        </w:tc>
      </w:tr>
      <w:tr w:rsidR="00D32803" w:rsidRPr="00D32803" w14:paraId="259A948E" w14:textId="77777777" w:rsidTr="00612BC9">
        <w:trPr>
          <w:trHeight w:val="48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CFE47" w14:textId="77777777" w:rsidR="00D32803" w:rsidRPr="00D32803" w:rsidRDefault="00D32803" w:rsidP="00D328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IV</w:t>
            </w: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3D025" w14:textId="4E425D22" w:rsidR="00D32803" w:rsidRPr="00D32803" w:rsidRDefault="00D32803" w:rsidP="0043272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Li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O (s,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 + CO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 (g,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 → Li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CO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3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 (s, </w:t>
            </w:r>
            <w:r w:rsidR="00432725">
              <w:rPr>
                <w:rFonts w:ascii="Calibri" w:eastAsia="Calibri" w:hAnsi="Calibri" w:cs="Times New Roman"/>
                <w:sz w:val="24"/>
                <w:szCs w:val="24"/>
              </w:rPr>
              <w:t>298 K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4FA14" w14:textId="77777777" w:rsidR="00D32803" w:rsidRPr="00D32803" w:rsidRDefault="00D32803" w:rsidP="005F4BD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ΔH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o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f</w:t>
            </w:r>
            <w:proofErr w:type="spellEnd"/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 xml:space="preserve"> (Li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CO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  <w:vertAlign w:val="subscript"/>
              </w:rPr>
              <w:t>3</w:t>
            </w:r>
            <w:r w:rsidRPr="00D32803">
              <w:rPr>
                <w:rFonts w:ascii="Calibri" w:eastAsia="Calibri" w:hAnsi="Calibri" w:cs="Times New Roman"/>
                <w:sz w:val="24"/>
                <w:szCs w:val="24"/>
              </w:rPr>
              <w:t>)</w:t>
            </w:r>
            <w:r w:rsidR="00E46450">
              <w:rPr>
                <w:rFonts w:ascii="Calibri" w:eastAsia="Calibri" w:hAnsi="Calibri" w:cs="Times New Roman"/>
                <w:sz w:val="24"/>
                <w:szCs w:val="24"/>
              </w:rPr>
              <w:t xml:space="preserve"> = </w:t>
            </w:r>
            <w:r w:rsidR="005F4BDC">
              <w:rPr>
                <w:rFonts w:ascii="Calibri" w:eastAsia="Calibri" w:hAnsi="Calibri" w:cs="Times New Roman"/>
                <w:sz w:val="24"/>
                <w:szCs w:val="24"/>
              </w:rPr>
              <w:t>- 223.79</w:t>
            </w:r>
            <w:r w:rsidR="005F4BD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F4BDC">
              <w:rPr>
                <w:rFonts w:ascii="Calibri" w:eastAsia="Calibri" w:hAnsi="Calibri" w:cs="Times New Roman"/>
                <w:sz w:val="24"/>
                <w:szCs w:val="24"/>
              </w:rPr>
              <w:t xml:space="preserve">± </w:t>
            </w:r>
            <w:r w:rsidR="005F4BDC" w:rsidRPr="005F4BDC">
              <w:rPr>
                <w:rFonts w:ascii="Calibri" w:eastAsia="Calibri" w:hAnsi="Calibri" w:cs="Times New Roman"/>
                <w:sz w:val="24"/>
                <w:szCs w:val="24"/>
              </w:rPr>
              <w:t>2.1</w:t>
            </w:r>
            <w:r w:rsidR="005F4BDC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="005F4BDC" w:rsidRPr="005F4BDC">
              <w:rPr>
                <w:rFonts w:ascii="Calibri" w:eastAsia="Calibri" w:hAnsi="Calibri" w:cs="Times New Roman"/>
                <w:sz w:val="24"/>
                <w:szCs w:val="24"/>
              </w:rPr>
              <w:t xml:space="preserve"> kJ</w:t>
            </w:r>
            <w:r w:rsidR="005F4BDC">
              <w:rPr>
                <w:rFonts w:ascii="Calibri" w:eastAsia="Calibri" w:hAnsi="Calibri" w:cs="Times New Roman"/>
                <w:sz w:val="24"/>
                <w:szCs w:val="24"/>
              </w:rPr>
              <w:t>/</w:t>
            </w:r>
            <w:r w:rsidR="005F4BDC" w:rsidRPr="005F4BDC">
              <w:rPr>
                <w:rFonts w:ascii="Calibri" w:eastAsia="Calibri" w:hAnsi="Calibri" w:cs="Times New Roman"/>
                <w:sz w:val="24"/>
                <w:szCs w:val="24"/>
              </w:rPr>
              <w:t>mol</w:t>
            </w:r>
          </w:p>
        </w:tc>
      </w:tr>
      <w:tr w:rsidR="00D32803" w:rsidRPr="00D32803" w14:paraId="71040DAE" w14:textId="77777777" w:rsidTr="00612BC9">
        <w:trPr>
          <w:trHeight w:val="483"/>
        </w:trPr>
        <w:tc>
          <w:tcPr>
            <w:tcW w:w="7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641C369" w14:textId="77777777" w:rsidR="00D32803" w:rsidRPr="00FD14E9" w:rsidRDefault="00D32803" w:rsidP="00D3280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14E9">
              <w:rPr>
                <w:rFonts w:ascii="Calibri" w:eastAsia="Calibri" w:hAnsi="Calibri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13F2615F" w14:textId="37561F2A" w:rsidR="00D32803" w:rsidRPr="00D32803" w:rsidRDefault="00D32803" w:rsidP="00D32803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C27F9">
              <w:rPr>
                <w:rFonts w:ascii="Calibri" w:eastAsia="Calibri" w:hAnsi="Calibri" w:cs="Times New Roman"/>
                <w:b/>
                <w:sz w:val="24"/>
                <w:szCs w:val="24"/>
              </w:rPr>
              <w:t>ΔH</w:t>
            </w:r>
            <w:r w:rsidRPr="002C27F9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ds,2</w:t>
            </w:r>
            <w:r w:rsidRPr="002C27F9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= </w:t>
            </w:r>
            <w:proofErr w:type="spellStart"/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>ΔH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  <w:vertAlign w:val="superscript"/>
              </w:rPr>
              <w:t>o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f</w:t>
            </w:r>
            <w:proofErr w:type="spellEnd"/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(Li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2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>CO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3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>) + ΔH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ds,1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2C27F9">
              <w:rPr>
                <w:rFonts w:ascii="Calibri" w:eastAsia="Calibri" w:hAnsi="Calibri" w:cs="Times New Roman"/>
                <w:b/>
                <w:sz w:val="24"/>
                <w:szCs w:val="24"/>
              </w:rPr>
              <w:t>–</w:t>
            </w:r>
            <w:r w:rsidRPr="00D32803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Pr="002C27F9">
              <w:rPr>
                <w:rFonts w:ascii="Calibri" w:eastAsia="Calibri" w:hAnsi="Calibri" w:cs="Times New Roman"/>
                <w:b/>
                <w:sz w:val="24"/>
                <w:szCs w:val="24"/>
              </w:rPr>
              <w:t>ΔH</w:t>
            </w:r>
            <w:r w:rsidR="002C27F9" w:rsidRPr="002C27F9">
              <w:rPr>
                <w:rFonts w:ascii="Calibri" w:eastAsia="Calibri" w:hAnsi="Calibri" w:cs="Times New Roman"/>
                <w:b/>
                <w:sz w:val="24"/>
                <w:szCs w:val="24"/>
                <w:vertAlign w:val="subscript"/>
              </w:rPr>
              <w:t>CO2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48E4543" w14:textId="77777777" w:rsidR="00D32803" w:rsidRPr="00D32803" w:rsidRDefault="00D32803" w:rsidP="00D3280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134D7D" w14:textId="77777777" w:rsidR="00895D3A" w:rsidRDefault="00895D3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3980BC" w14:textId="060C6B9D" w:rsidR="00C16598" w:rsidRPr="00F67651" w:rsidRDefault="00E35234" w:rsidP="00DD0193">
      <w:pPr>
        <w:pStyle w:val="Bibliography"/>
        <w:ind w:left="720" w:hanging="720"/>
        <w:jc w:val="both"/>
        <w:rPr>
          <w:sz w:val="24"/>
          <w:szCs w:val="24"/>
          <w:lang w:val="de-DE"/>
        </w:rPr>
      </w:pPr>
      <w:r w:rsidRPr="00F67651">
        <w:rPr>
          <w:b/>
          <w:sz w:val="24"/>
          <w:szCs w:val="24"/>
          <w:lang w:val="de-DE"/>
        </w:rPr>
        <w:lastRenderedPageBreak/>
        <w:t>References</w:t>
      </w:r>
      <w:r w:rsidR="00C16598" w:rsidRPr="00DD0193">
        <w:rPr>
          <w:sz w:val="24"/>
          <w:szCs w:val="24"/>
        </w:rPr>
        <w:fldChar w:fldCharType="begin"/>
      </w:r>
      <w:r w:rsidR="00C16598" w:rsidRPr="00F67651">
        <w:rPr>
          <w:sz w:val="24"/>
          <w:szCs w:val="24"/>
          <w:lang w:val="de-DE"/>
        </w:rPr>
        <w:instrText xml:space="preserve"> BIBLIOGRAPHY  \l 1033 </w:instrText>
      </w:r>
      <w:r w:rsidR="00C16598" w:rsidRPr="00DD0193">
        <w:rPr>
          <w:sz w:val="24"/>
          <w:szCs w:val="24"/>
        </w:rPr>
        <w:fldChar w:fldCharType="separat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9223"/>
      </w:tblGrid>
      <w:tr w:rsidR="00C16598" w:rsidRPr="00DD0193" w14:paraId="323418A4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14E9CD54" w14:textId="77777777" w:rsidR="00C16598" w:rsidRPr="00F67651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  <w:lang w:val="de-DE"/>
              </w:rPr>
            </w:pPr>
            <w:r w:rsidRPr="00F67651">
              <w:rPr>
                <w:noProof/>
                <w:sz w:val="24"/>
                <w:szCs w:val="24"/>
                <w:lang w:val="de-DE"/>
              </w:rPr>
              <w:t xml:space="preserve">[1] </w:t>
            </w:r>
          </w:p>
        </w:tc>
        <w:tc>
          <w:tcPr>
            <w:tcW w:w="0" w:type="auto"/>
            <w:hideMark/>
          </w:tcPr>
          <w:p w14:paraId="6876D772" w14:textId="35B815A4" w:rsidR="00C16598" w:rsidRPr="00DD0193" w:rsidRDefault="00C16598" w:rsidP="00AB0D01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9D5417">
              <w:rPr>
                <w:noProof/>
                <w:sz w:val="24"/>
                <w:szCs w:val="24"/>
              </w:rPr>
              <w:t>E. Dashjav, Q. Ma, Q. Xu, C.-L. Tsai, M. Giaro</w:t>
            </w:r>
            <w:r w:rsidRPr="00DD0193">
              <w:rPr>
                <w:noProof/>
                <w:sz w:val="24"/>
                <w:szCs w:val="24"/>
              </w:rPr>
              <w:t xml:space="preserve">la, G. Mariotto and F. Tietz, "The influence of water on the electrical conductivity of aluminum-substituted lithium titanium phosphates,"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Solid State Ion.</w:t>
            </w:r>
            <w:r w:rsidR="00AB0D01" w:rsidRPr="00AB0D01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AB0D01" w:rsidRPr="00AB0D01">
              <w:rPr>
                <w:b/>
                <w:noProof/>
                <w:sz w:val="24"/>
                <w:szCs w:val="24"/>
              </w:rPr>
              <w:t>2018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AB0D01" w:rsidRPr="00AB0D01">
              <w:rPr>
                <w:i/>
                <w:noProof/>
                <w:sz w:val="24"/>
                <w:szCs w:val="24"/>
              </w:rPr>
              <w:t>321</w:t>
            </w:r>
            <w:r w:rsidR="00AB0D01">
              <w:rPr>
                <w:noProof/>
                <w:sz w:val="24"/>
                <w:szCs w:val="24"/>
              </w:rPr>
              <w:t>, 83-90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72035DCC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13A21875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[2] </w:t>
            </w:r>
          </w:p>
        </w:tc>
        <w:tc>
          <w:tcPr>
            <w:tcW w:w="0" w:type="auto"/>
            <w:hideMark/>
          </w:tcPr>
          <w:p w14:paraId="4C9101EA" w14:textId="680133B7" w:rsidR="00C16598" w:rsidRPr="00DD0193" w:rsidRDefault="00C16598" w:rsidP="000F6ED4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>Q. Ma, Q. Xu, C. Tsai, F. Tietz and O. Guillon, "A Novel Sol–Gel Method for Large‐Scale Production of Nanopowders: Preparation of Li</w:t>
            </w:r>
            <w:r w:rsidRPr="000F6ED4">
              <w:rPr>
                <w:noProof/>
                <w:sz w:val="24"/>
                <w:szCs w:val="24"/>
                <w:vertAlign w:val="subscript"/>
              </w:rPr>
              <w:t>1.5</w:t>
            </w:r>
            <w:r w:rsidRPr="00DD0193">
              <w:rPr>
                <w:noProof/>
                <w:sz w:val="24"/>
                <w:szCs w:val="24"/>
              </w:rPr>
              <w:t>Al</w:t>
            </w:r>
            <w:r w:rsidRPr="000F6ED4">
              <w:rPr>
                <w:noProof/>
                <w:sz w:val="24"/>
                <w:szCs w:val="24"/>
                <w:vertAlign w:val="subscript"/>
              </w:rPr>
              <w:t>0.5</w:t>
            </w:r>
            <w:r w:rsidRPr="00DD0193">
              <w:rPr>
                <w:noProof/>
                <w:sz w:val="24"/>
                <w:szCs w:val="24"/>
              </w:rPr>
              <w:t>Ti</w:t>
            </w:r>
            <w:r w:rsidRPr="000F6ED4">
              <w:rPr>
                <w:noProof/>
                <w:sz w:val="24"/>
                <w:szCs w:val="24"/>
                <w:vertAlign w:val="subscript"/>
              </w:rPr>
              <w:t>1.5</w:t>
            </w:r>
            <w:r w:rsidRPr="00DD0193">
              <w:rPr>
                <w:noProof/>
                <w:sz w:val="24"/>
                <w:szCs w:val="24"/>
              </w:rPr>
              <w:t>(PO</w:t>
            </w:r>
            <w:r w:rsidRPr="000F6ED4">
              <w:rPr>
                <w:noProof/>
                <w:sz w:val="24"/>
                <w:szCs w:val="24"/>
                <w:vertAlign w:val="subscript"/>
              </w:rPr>
              <w:t>4</w:t>
            </w:r>
            <w:r w:rsidRPr="00DD0193">
              <w:rPr>
                <w:noProof/>
                <w:sz w:val="24"/>
                <w:szCs w:val="24"/>
              </w:rPr>
              <w:t>)</w:t>
            </w:r>
            <w:r w:rsidRPr="000F6ED4">
              <w:rPr>
                <w:noProof/>
                <w:sz w:val="24"/>
                <w:szCs w:val="24"/>
                <w:vertAlign w:val="subscript"/>
              </w:rPr>
              <w:t>3</w:t>
            </w:r>
            <w:r w:rsidRPr="00DD0193">
              <w:rPr>
                <w:noProof/>
                <w:sz w:val="24"/>
                <w:szCs w:val="24"/>
              </w:rPr>
              <w:t xml:space="preserve"> as an Example,"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J. Am. Ceram. Soc</w:t>
            </w:r>
            <w:r w:rsidR="000F6ED4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0F6ED4" w:rsidRPr="000F6ED4">
              <w:rPr>
                <w:b/>
                <w:noProof/>
                <w:sz w:val="24"/>
                <w:szCs w:val="24"/>
              </w:rPr>
              <w:t>2016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0F6ED4" w:rsidRPr="00174B75">
              <w:rPr>
                <w:i/>
                <w:noProof/>
                <w:sz w:val="24"/>
                <w:szCs w:val="24"/>
              </w:rPr>
              <w:t>99</w:t>
            </w:r>
            <w:r w:rsidR="000F6ED4">
              <w:rPr>
                <w:noProof/>
                <w:sz w:val="24"/>
                <w:szCs w:val="24"/>
              </w:rPr>
              <w:t>, 410-414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4A94D61F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06325B9E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[3] </w:t>
            </w:r>
          </w:p>
        </w:tc>
        <w:tc>
          <w:tcPr>
            <w:tcW w:w="0" w:type="auto"/>
            <w:hideMark/>
          </w:tcPr>
          <w:p w14:paraId="54F15D4A" w14:textId="58A4228B" w:rsidR="00C16598" w:rsidRPr="00DD0193" w:rsidRDefault="00C16598" w:rsidP="00174B75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L. Akselrud and Y. Grin, "WinCSD: software package for crystallographic calculations (Version 4),"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‎J. Appl. Crystallogr.</w:t>
            </w:r>
            <w:r w:rsidR="00174B75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174B75" w:rsidRPr="00174B75">
              <w:rPr>
                <w:b/>
                <w:noProof/>
                <w:sz w:val="24"/>
                <w:szCs w:val="24"/>
              </w:rPr>
              <w:t>2014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174B75" w:rsidRPr="00174B75">
              <w:rPr>
                <w:i/>
                <w:noProof/>
                <w:sz w:val="24"/>
                <w:szCs w:val="24"/>
              </w:rPr>
              <w:t>47</w:t>
            </w:r>
            <w:r w:rsidR="00174B75">
              <w:rPr>
                <w:noProof/>
                <w:sz w:val="24"/>
                <w:szCs w:val="24"/>
              </w:rPr>
              <w:t>, 803-805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1DA32110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4AE72EDD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[4] </w:t>
            </w:r>
          </w:p>
        </w:tc>
        <w:tc>
          <w:tcPr>
            <w:tcW w:w="0" w:type="auto"/>
            <w:hideMark/>
          </w:tcPr>
          <w:p w14:paraId="21FDB8B1" w14:textId="21BDAFCA" w:rsidR="00C16598" w:rsidRPr="00DD0193" w:rsidRDefault="00C16598" w:rsidP="00174B75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K. Momma and F. Izumi, "VESTA 3 for three-dimensional visualization of crystal, volumetric and morphology data,"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J. Appl. Crystallogr.</w:t>
            </w:r>
            <w:r w:rsidR="00174B75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174B75" w:rsidRPr="00174B75">
              <w:rPr>
                <w:b/>
                <w:noProof/>
                <w:sz w:val="24"/>
                <w:szCs w:val="24"/>
              </w:rPr>
              <w:t>2011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174B75" w:rsidRPr="00174B75">
              <w:rPr>
                <w:i/>
                <w:noProof/>
                <w:sz w:val="24"/>
                <w:szCs w:val="24"/>
              </w:rPr>
              <w:t>44</w:t>
            </w:r>
            <w:r w:rsidR="00174B75">
              <w:rPr>
                <w:noProof/>
                <w:sz w:val="24"/>
                <w:szCs w:val="24"/>
              </w:rPr>
              <w:t>, 1272–1276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6C14F5D9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16383696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[5] </w:t>
            </w:r>
          </w:p>
        </w:tc>
        <w:tc>
          <w:tcPr>
            <w:tcW w:w="0" w:type="auto"/>
            <w:hideMark/>
          </w:tcPr>
          <w:p w14:paraId="0592CED2" w14:textId="12F1D3F5" w:rsidR="00C16598" w:rsidRPr="00DD0193" w:rsidRDefault="00C16598" w:rsidP="001722C1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A. Navrotsky, "Progress and new directions in high temperature calorimetry,"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Phys. Chem. Miner.</w:t>
            </w:r>
            <w:r w:rsidR="001722C1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1722C1" w:rsidRPr="001722C1">
              <w:rPr>
                <w:b/>
                <w:noProof/>
                <w:sz w:val="24"/>
                <w:szCs w:val="24"/>
              </w:rPr>
              <w:t>1977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1722C1" w:rsidRPr="001722C1">
              <w:rPr>
                <w:i/>
                <w:noProof/>
                <w:sz w:val="24"/>
                <w:szCs w:val="24"/>
              </w:rPr>
              <w:t>2</w:t>
            </w:r>
            <w:r w:rsidR="001722C1">
              <w:rPr>
                <w:noProof/>
                <w:sz w:val="24"/>
                <w:szCs w:val="24"/>
              </w:rPr>
              <w:t xml:space="preserve">, </w:t>
            </w:r>
            <w:r w:rsidR="00B504A2">
              <w:rPr>
                <w:noProof/>
                <w:sz w:val="24"/>
                <w:szCs w:val="24"/>
              </w:rPr>
              <w:t>89–104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74207422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7B28826F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[6] </w:t>
            </w:r>
          </w:p>
        </w:tc>
        <w:tc>
          <w:tcPr>
            <w:tcW w:w="0" w:type="auto"/>
            <w:hideMark/>
          </w:tcPr>
          <w:p w14:paraId="5C20DF39" w14:textId="068D1B98" w:rsidR="00C16598" w:rsidRPr="00DD0193" w:rsidRDefault="00C16598" w:rsidP="00C6140B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A. Navrotsky, "Progress and new directions in high temperature calorimetry revisited,"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Phys. Chem. Miner.</w:t>
            </w:r>
            <w:r w:rsidR="00C6140B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C6140B" w:rsidRPr="00C6140B">
              <w:rPr>
                <w:b/>
                <w:noProof/>
                <w:sz w:val="24"/>
                <w:szCs w:val="24"/>
              </w:rPr>
              <w:t>1997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C6140B" w:rsidRPr="00C6140B">
              <w:rPr>
                <w:i/>
                <w:noProof/>
                <w:sz w:val="24"/>
                <w:szCs w:val="24"/>
              </w:rPr>
              <w:t>24</w:t>
            </w:r>
            <w:r w:rsidR="00C6140B">
              <w:rPr>
                <w:noProof/>
                <w:sz w:val="24"/>
                <w:szCs w:val="24"/>
              </w:rPr>
              <w:t>, 222-241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7E330323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1C1421CF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[7] </w:t>
            </w:r>
          </w:p>
        </w:tc>
        <w:tc>
          <w:tcPr>
            <w:tcW w:w="0" w:type="auto"/>
            <w:hideMark/>
          </w:tcPr>
          <w:p w14:paraId="4B61B394" w14:textId="71BF0846" w:rsidR="00C16598" w:rsidRPr="00DD0193" w:rsidRDefault="00C16598" w:rsidP="00C6140B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A. Navrotsky, "Progress and New Directions in Calorimetry: A 2014 Perspective,"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J. Am. Ceram. Soc.</w:t>
            </w:r>
            <w:r w:rsidR="00C6140B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C6140B" w:rsidRPr="00C6140B">
              <w:rPr>
                <w:b/>
                <w:noProof/>
                <w:sz w:val="24"/>
                <w:szCs w:val="24"/>
              </w:rPr>
              <w:t>2014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C6140B" w:rsidRPr="00C6140B">
              <w:rPr>
                <w:i/>
                <w:noProof/>
                <w:sz w:val="24"/>
                <w:szCs w:val="24"/>
              </w:rPr>
              <w:t>97</w:t>
            </w:r>
            <w:r w:rsidR="00C6140B">
              <w:rPr>
                <w:noProof/>
                <w:sz w:val="24"/>
                <w:szCs w:val="24"/>
              </w:rPr>
              <w:t>, 3349–3359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05BD8D7B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060C55C5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[8] </w:t>
            </w:r>
          </w:p>
        </w:tc>
        <w:tc>
          <w:tcPr>
            <w:tcW w:w="0" w:type="auto"/>
            <w:hideMark/>
          </w:tcPr>
          <w:p w14:paraId="22432A61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R. A. Robie and B. S. Hemingway, Thermodynamic properties of minerals and related substances at 298.15 K and 1 bar (10^5 pascals) pressure and at higher temperatures, Washington, DC: United States Government Printing Office, </w:t>
            </w:r>
            <w:r w:rsidRPr="004506E5">
              <w:rPr>
                <w:b/>
                <w:noProof/>
                <w:sz w:val="24"/>
                <w:szCs w:val="24"/>
              </w:rPr>
              <w:t>1995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0C6E651F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53E94AAD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[9] </w:t>
            </w:r>
          </w:p>
        </w:tc>
        <w:tc>
          <w:tcPr>
            <w:tcW w:w="0" w:type="auto"/>
            <w:hideMark/>
          </w:tcPr>
          <w:p w14:paraId="37E2A205" w14:textId="072407FA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235A6B">
              <w:rPr>
                <w:noProof/>
                <w:sz w:val="24"/>
                <w:szCs w:val="24"/>
              </w:rPr>
              <w:t xml:space="preserve">M. </w:t>
            </w:r>
            <w:r w:rsidR="00970ADA">
              <w:rPr>
                <w:noProof/>
                <w:sz w:val="24"/>
                <w:szCs w:val="24"/>
              </w:rPr>
              <w:t>W.</w:t>
            </w:r>
            <w:r w:rsidR="00E35C45">
              <w:rPr>
                <w:noProof/>
                <w:sz w:val="24"/>
                <w:szCs w:val="24"/>
              </w:rPr>
              <w:t xml:space="preserve"> </w:t>
            </w:r>
            <w:r w:rsidRPr="00DD0193">
              <w:rPr>
                <w:noProof/>
                <w:sz w:val="24"/>
                <w:szCs w:val="24"/>
              </w:rPr>
              <w:t>Chase,</w:t>
            </w:r>
            <w:r w:rsidR="00970ADA">
              <w:rPr>
                <w:noProof/>
                <w:sz w:val="24"/>
                <w:szCs w:val="24"/>
              </w:rPr>
              <w:t xml:space="preserve"> Jr., C. A. Davies, </w:t>
            </w:r>
            <w:r w:rsidR="00E35C45">
              <w:rPr>
                <w:noProof/>
                <w:sz w:val="24"/>
                <w:szCs w:val="24"/>
              </w:rPr>
              <w:t xml:space="preserve">J. R. Downey, Jr., D. J. Frurip, </w:t>
            </w:r>
            <w:r w:rsidR="00E35C45" w:rsidRPr="00E35C45">
              <w:rPr>
                <w:noProof/>
                <w:sz w:val="24"/>
                <w:szCs w:val="24"/>
              </w:rPr>
              <w:t>R.</w:t>
            </w:r>
            <w:r w:rsidR="00E35C45">
              <w:rPr>
                <w:noProof/>
                <w:sz w:val="24"/>
                <w:szCs w:val="24"/>
              </w:rPr>
              <w:t xml:space="preserve"> </w:t>
            </w:r>
            <w:r w:rsidR="00E35C45" w:rsidRPr="00E35C45">
              <w:rPr>
                <w:noProof/>
                <w:sz w:val="24"/>
                <w:szCs w:val="24"/>
              </w:rPr>
              <w:t>A. McDonald</w:t>
            </w:r>
            <w:r w:rsidR="00E35C45">
              <w:rPr>
                <w:noProof/>
                <w:sz w:val="24"/>
                <w:szCs w:val="24"/>
              </w:rPr>
              <w:t xml:space="preserve">, </w:t>
            </w:r>
            <w:r w:rsidR="00E35C45" w:rsidRPr="00E35C45">
              <w:rPr>
                <w:noProof/>
                <w:sz w:val="24"/>
                <w:szCs w:val="24"/>
              </w:rPr>
              <w:t>A.</w:t>
            </w:r>
            <w:r w:rsidR="00E35C45">
              <w:rPr>
                <w:noProof/>
                <w:sz w:val="24"/>
                <w:szCs w:val="24"/>
              </w:rPr>
              <w:t xml:space="preserve"> </w:t>
            </w:r>
            <w:r w:rsidR="00E35C45" w:rsidRPr="00E35C45">
              <w:rPr>
                <w:noProof/>
                <w:sz w:val="24"/>
                <w:szCs w:val="24"/>
              </w:rPr>
              <w:t>N. Syverud</w:t>
            </w:r>
            <w:r w:rsidR="00E35C45">
              <w:rPr>
                <w:noProof/>
                <w:sz w:val="24"/>
                <w:szCs w:val="24"/>
              </w:rPr>
              <w:t>,</w:t>
            </w:r>
            <w:r w:rsidRPr="00DD0193">
              <w:rPr>
                <w:noProof/>
                <w:sz w:val="24"/>
                <w:szCs w:val="24"/>
              </w:rPr>
              <w:t xml:space="preserve"> "JANAF Thermochemical Tables, Vol. 14, 3rd ed.," American Chemical Society and American Institute of Physics, </w:t>
            </w:r>
            <w:r w:rsidRPr="004506E5">
              <w:rPr>
                <w:b/>
                <w:noProof/>
                <w:sz w:val="24"/>
                <w:szCs w:val="24"/>
              </w:rPr>
              <w:t>1985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  <w:tr w:rsidR="00C16598" w:rsidRPr="00DD0193" w14:paraId="1253F68D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022A1ECC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[10] </w:t>
            </w:r>
          </w:p>
        </w:tc>
        <w:tc>
          <w:tcPr>
            <w:tcW w:w="0" w:type="auto"/>
            <w:hideMark/>
          </w:tcPr>
          <w:p w14:paraId="24EC24FE" w14:textId="746A8239" w:rsidR="00C16598" w:rsidRPr="00DD0193" w:rsidRDefault="00C16598" w:rsidP="004506E5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>G. K. Johnson, R. T. Grow and W. N. Hubbard, "The enthalpy of formation of lithium oxide (Li</w:t>
            </w:r>
            <w:r w:rsidRPr="00187D9C">
              <w:rPr>
                <w:noProof/>
                <w:sz w:val="24"/>
                <w:szCs w:val="24"/>
                <w:vertAlign w:val="subscript"/>
              </w:rPr>
              <w:t>2</w:t>
            </w:r>
            <w:r w:rsidRPr="00DD0193">
              <w:rPr>
                <w:noProof/>
                <w:sz w:val="24"/>
                <w:szCs w:val="24"/>
              </w:rPr>
              <w:t xml:space="preserve">O),"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J. Chem. Thermodyn.</w:t>
            </w:r>
            <w:r w:rsidR="004506E5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4506E5" w:rsidRPr="004506E5">
              <w:rPr>
                <w:b/>
                <w:noProof/>
                <w:sz w:val="24"/>
                <w:szCs w:val="24"/>
              </w:rPr>
              <w:t>1975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4506E5" w:rsidRPr="004506E5">
              <w:rPr>
                <w:i/>
                <w:noProof/>
                <w:sz w:val="24"/>
                <w:szCs w:val="24"/>
              </w:rPr>
              <w:t>7</w:t>
            </w:r>
            <w:r w:rsidR="004506E5">
              <w:rPr>
                <w:noProof/>
                <w:sz w:val="24"/>
                <w:szCs w:val="24"/>
              </w:rPr>
              <w:t xml:space="preserve">, </w:t>
            </w:r>
            <w:r w:rsidRPr="00DD0193">
              <w:rPr>
                <w:noProof/>
                <w:sz w:val="24"/>
                <w:szCs w:val="24"/>
              </w:rPr>
              <w:t xml:space="preserve">781-786,. </w:t>
            </w:r>
          </w:p>
        </w:tc>
      </w:tr>
      <w:tr w:rsidR="00C16598" w:rsidRPr="00DD0193" w14:paraId="0F943220" w14:textId="77777777" w:rsidTr="00DD0193">
        <w:trPr>
          <w:tblCellSpacing w:w="15" w:type="dxa"/>
        </w:trPr>
        <w:tc>
          <w:tcPr>
            <w:tcW w:w="215" w:type="pct"/>
            <w:hideMark/>
          </w:tcPr>
          <w:p w14:paraId="3A263446" w14:textId="77777777" w:rsidR="00C16598" w:rsidRPr="00DD0193" w:rsidRDefault="00C16598" w:rsidP="00DD0193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[11] </w:t>
            </w:r>
          </w:p>
        </w:tc>
        <w:tc>
          <w:tcPr>
            <w:tcW w:w="0" w:type="auto"/>
            <w:hideMark/>
          </w:tcPr>
          <w:p w14:paraId="66B02BFB" w14:textId="59CBFD7F" w:rsidR="00C16598" w:rsidRPr="00DD0193" w:rsidRDefault="00C16598" w:rsidP="00163CE8">
            <w:pPr>
              <w:pStyle w:val="Bibliography"/>
              <w:jc w:val="both"/>
              <w:rPr>
                <w:rFonts w:eastAsiaTheme="minorEastAsia"/>
                <w:noProof/>
                <w:sz w:val="24"/>
                <w:szCs w:val="24"/>
              </w:rPr>
            </w:pPr>
            <w:r w:rsidRPr="00DD0193">
              <w:rPr>
                <w:noProof/>
                <w:sz w:val="24"/>
                <w:szCs w:val="24"/>
              </w:rPr>
              <w:t xml:space="preserve">S. Hayun, S. Salhov, K. Lilova and A. Navrotsky, "Enthalpies of Formation of High Entropy and Multicomponent Alloys using Oxide Melt Solution Calorimetry," </w:t>
            </w:r>
            <w:r w:rsidRPr="00DD0193">
              <w:rPr>
                <w:i/>
                <w:iCs/>
                <w:noProof/>
                <w:sz w:val="24"/>
                <w:szCs w:val="24"/>
              </w:rPr>
              <w:t>Intermetallics</w:t>
            </w:r>
            <w:r w:rsidR="004506E5">
              <w:rPr>
                <w:i/>
                <w:iCs/>
                <w:noProof/>
                <w:sz w:val="24"/>
                <w:szCs w:val="24"/>
              </w:rPr>
              <w:t xml:space="preserve"> </w:t>
            </w:r>
            <w:r w:rsidR="004506E5" w:rsidRPr="004506E5">
              <w:rPr>
                <w:b/>
                <w:noProof/>
                <w:sz w:val="24"/>
                <w:szCs w:val="24"/>
              </w:rPr>
              <w:t>2020</w:t>
            </w:r>
            <w:r w:rsidRPr="00DD0193">
              <w:rPr>
                <w:i/>
                <w:iCs/>
                <w:noProof/>
                <w:sz w:val="24"/>
                <w:szCs w:val="24"/>
              </w:rPr>
              <w:t xml:space="preserve">, </w:t>
            </w:r>
            <w:r w:rsidR="004506E5" w:rsidRPr="004506E5">
              <w:rPr>
                <w:i/>
                <w:noProof/>
                <w:sz w:val="24"/>
                <w:szCs w:val="24"/>
              </w:rPr>
              <w:t>125</w:t>
            </w:r>
            <w:r w:rsidR="004506E5">
              <w:rPr>
                <w:noProof/>
                <w:sz w:val="24"/>
                <w:szCs w:val="24"/>
              </w:rPr>
              <w:t>, 106897</w:t>
            </w:r>
            <w:r w:rsidRPr="00DD0193">
              <w:rPr>
                <w:noProof/>
                <w:sz w:val="24"/>
                <w:szCs w:val="24"/>
              </w:rPr>
              <w:t xml:space="preserve">. </w:t>
            </w:r>
          </w:p>
        </w:tc>
      </w:tr>
    </w:tbl>
    <w:p w14:paraId="05ED7A73" w14:textId="233A098D" w:rsidR="00E35234" w:rsidRPr="00E6416F" w:rsidRDefault="00C16598" w:rsidP="00DD0193">
      <w:pPr>
        <w:jc w:val="both"/>
        <w:rPr>
          <w:sz w:val="24"/>
          <w:szCs w:val="24"/>
        </w:rPr>
      </w:pPr>
      <w:r w:rsidRPr="00DD0193">
        <w:rPr>
          <w:sz w:val="24"/>
          <w:szCs w:val="24"/>
        </w:rPr>
        <w:fldChar w:fldCharType="end"/>
      </w:r>
    </w:p>
    <w:sectPr w:rsidR="00E35234" w:rsidRPr="00E6416F">
      <w:footerReference w:type="default" r:id="rId9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B135" w14:textId="77777777" w:rsidR="006772D2" w:rsidRDefault="006772D2" w:rsidP="003170BE">
      <w:pPr>
        <w:spacing w:after="0" w:line="240" w:lineRule="auto"/>
      </w:pPr>
      <w:r>
        <w:separator/>
      </w:r>
    </w:p>
  </w:endnote>
  <w:endnote w:type="continuationSeparator" w:id="0">
    <w:p w14:paraId="791549B4" w14:textId="77777777" w:rsidR="006772D2" w:rsidRDefault="006772D2" w:rsidP="0031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1357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F8717" w14:textId="69AC243B" w:rsidR="003170BE" w:rsidRDefault="0097238A">
        <w:pPr>
          <w:pStyle w:val="Footer"/>
          <w:jc w:val="right"/>
        </w:pPr>
        <w:r>
          <w:t>S</w:t>
        </w:r>
        <w:r w:rsidR="003170BE">
          <w:fldChar w:fldCharType="begin"/>
        </w:r>
        <w:r w:rsidR="003170BE">
          <w:instrText xml:space="preserve"> PAGE   \* MERGEFORMAT </w:instrText>
        </w:r>
        <w:r w:rsidR="003170BE">
          <w:fldChar w:fldCharType="separate"/>
        </w:r>
        <w:r>
          <w:rPr>
            <w:noProof/>
          </w:rPr>
          <w:t>8</w:t>
        </w:r>
        <w:r w:rsidR="003170BE">
          <w:rPr>
            <w:noProof/>
          </w:rPr>
          <w:fldChar w:fldCharType="end"/>
        </w:r>
      </w:p>
    </w:sdtContent>
  </w:sdt>
  <w:p w14:paraId="40BA20D1" w14:textId="77777777" w:rsidR="003170BE" w:rsidRDefault="00317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2B783" w14:textId="77777777" w:rsidR="006772D2" w:rsidRDefault="006772D2" w:rsidP="003170BE">
      <w:pPr>
        <w:spacing w:after="0" w:line="240" w:lineRule="auto"/>
      </w:pPr>
      <w:r>
        <w:separator/>
      </w:r>
    </w:p>
  </w:footnote>
  <w:footnote w:type="continuationSeparator" w:id="0">
    <w:p w14:paraId="44E3325C" w14:textId="77777777" w:rsidR="006772D2" w:rsidRDefault="006772D2" w:rsidP="00317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xNDI3NTEwNDWzNLZU0lEKTi0uzszPAykwtKwFAOeEthwtAAAA"/>
  </w:docVars>
  <w:rsids>
    <w:rsidRoot w:val="00072ECE"/>
    <w:rsid w:val="00021706"/>
    <w:rsid w:val="0004414A"/>
    <w:rsid w:val="00061BEF"/>
    <w:rsid w:val="00067802"/>
    <w:rsid w:val="00072ECE"/>
    <w:rsid w:val="0008492D"/>
    <w:rsid w:val="000A6AEB"/>
    <w:rsid w:val="000A7DDE"/>
    <w:rsid w:val="000B1512"/>
    <w:rsid w:val="000D13FD"/>
    <w:rsid w:val="000D3630"/>
    <w:rsid w:val="000D7191"/>
    <w:rsid w:val="000E4937"/>
    <w:rsid w:val="000F6ED4"/>
    <w:rsid w:val="00105461"/>
    <w:rsid w:val="001122AF"/>
    <w:rsid w:val="00132FC7"/>
    <w:rsid w:val="0013388B"/>
    <w:rsid w:val="00133CAF"/>
    <w:rsid w:val="00143B07"/>
    <w:rsid w:val="00155754"/>
    <w:rsid w:val="00163787"/>
    <w:rsid w:val="00163CE8"/>
    <w:rsid w:val="001722C1"/>
    <w:rsid w:val="001735CD"/>
    <w:rsid w:val="00174B75"/>
    <w:rsid w:val="0018472B"/>
    <w:rsid w:val="001879AE"/>
    <w:rsid w:val="00187D9C"/>
    <w:rsid w:val="001A3300"/>
    <w:rsid w:val="001A4CB0"/>
    <w:rsid w:val="001D012E"/>
    <w:rsid w:val="001D12E9"/>
    <w:rsid w:val="0020513D"/>
    <w:rsid w:val="0021399C"/>
    <w:rsid w:val="00233586"/>
    <w:rsid w:val="00233669"/>
    <w:rsid w:val="00235A6B"/>
    <w:rsid w:val="00236C90"/>
    <w:rsid w:val="002407DF"/>
    <w:rsid w:val="002502D4"/>
    <w:rsid w:val="00262819"/>
    <w:rsid w:val="00265A21"/>
    <w:rsid w:val="0027299C"/>
    <w:rsid w:val="002815C7"/>
    <w:rsid w:val="0029136C"/>
    <w:rsid w:val="00295D60"/>
    <w:rsid w:val="00296393"/>
    <w:rsid w:val="002B74BE"/>
    <w:rsid w:val="002C27F9"/>
    <w:rsid w:val="002D1341"/>
    <w:rsid w:val="002E0BC7"/>
    <w:rsid w:val="002E5FF1"/>
    <w:rsid w:val="00304FF4"/>
    <w:rsid w:val="003170BE"/>
    <w:rsid w:val="00326E72"/>
    <w:rsid w:val="003361F2"/>
    <w:rsid w:val="00343FC9"/>
    <w:rsid w:val="00345B6C"/>
    <w:rsid w:val="00352133"/>
    <w:rsid w:val="003752E5"/>
    <w:rsid w:val="00387E41"/>
    <w:rsid w:val="003941BF"/>
    <w:rsid w:val="00396E03"/>
    <w:rsid w:val="003A1B3B"/>
    <w:rsid w:val="003B7E4E"/>
    <w:rsid w:val="003C36C3"/>
    <w:rsid w:val="003C638D"/>
    <w:rsid w:val="003D3E8A"/>
    <w:rsid w:val="003E0254"/>
    <w:rsid w:val="003E5E93"/>
    <w:rsid w:val="00422812"/>
    <w:rsid w:val="00432725"/>
    <w:rsid w:val="00442FF7"/>
    <w:rsid w:val="00447AA1"/>
    <w:rsid w:val="00447CE6"/>
    <w:rsid w:val="004506E5"/>
    <w:rsid w:val="00457D7D"/>
    <w:rsid w:val="00472651"/>
    <w:rsid w:val="00482D51"/>
    <w:rsid w:val="00484742"/>
    <w:rsid w:val="00485CB5"/>
    <w:rsid w:val="0048689A"/>
    <w:rsid w:val="004B3202"/>
    <w:rsid w:val="004B58DB"/>
    <w:rsid w:val="004C1B7D"/>
    <w:rsid w:val="004C2067"/>
    <w:rsid w:val="004C5480"/>
    <w:rsid w:val="004D31E5"/>
    <w:rsid w:val="004F49DD"/>
    <w:rsid w:val="00500B4B"/>
    <w:rsid w:val="005116DD"/>
    <w:rsid w:val="00514F4A"/>
    <w:rsid w:val="0052343A"/>
    <w:rsid w:val="00547795"/>
    <w:rsid w:val="00563DC2"/>
    <w:rsid w:val="005A1A3D"/>
    <w:rsid w:val="005A3C19"/>
    <w:rsid w:val="005A7ACE"/>
    <w:rsid w:val="005C2FBE"/>
    <w:rsid w:val="005C4820"/>
    <w:rsid w:val="005D1FFE"/>
    <w:rsid w:val="005D59C2"/>
    <w:rsid w:val="005E1EA5"/>
    <w:rsid w:val="005E7AAD"/>
    <w:rsid w:val="005F0303"/>
    <w:rsid w:val="005F4BDC"/>
    <w:rsid w:val="005F7C62"/>
    <w:rsid w:val="00612BC9"/>
    <w:rsid w:val="00617DED"/>
    <w:rsid w:val="00624CBC"/>
    <w:rsid w:val="00626AA2"/>
    <w:rsid w:val="00655447"/>
    <w:rsid w:val="00666DCC"/>
    <w:rsid w:val="006772D2"/>
    <w:rsid w:val="006A5CE6"/>
    <w:rsid w:val="006D4B16"/>
    <w:rsid w:val="006E4C92"/>
    <w:rsid w:val="006E6C0F"/>
    <w:rsid w:val="006F6BB4"/>
    <w:rsid w:val="00706AD2"/>
    <w:rsid w:val="00706B67"/>
    <w:rsid w:val="00717C55"/>
    <w:rsid w:val="007202EF"/>
    <w:rsid w:val="00740189"/>
    <w:rsid w:val="007412AD"/>
    <w:rsid w:val="00743E90"/>
    <w:rsid w:val="00752C90"/>
    <w:rsid w:val="00772E58"/>
    <w:rsid w:val="0077381D"/>
    <w:rsid w:val="00791636"/>
    <w:rsid w:val="0079474F"/>
    <w:rsid w:val="007B3772"/>
    <w:rsid w:val="007D4860"/>
    <w:rsid w:val="007D4B76"/>
    <w:rsid w:val="007D75EF"/>
    <w:rsid w:val="007E0374"/>
    <w:rsid w:val="007E03E2"/>
    <w:rsid w:val="007E25C8"/>
    <w:rsid w:val="007E6B49"/>
    <w:rsid w:val="007F3A08"/>
    <w:rsid w:val="00801B6B"/>
    <w:rsid w:val="00804085"/>
    <w:rsid w:val="008059A2"/>
    <w:rsid w:val="00814F39"/>
    <w:rsid w:val="008504F6"/>
    <w:rsid w:val="00850ED8"/>
    <w:rsid w:val="008577F4"/>
    <w:rsid w:val="008721C0"/>
    <w:rsid w:val="00874AAE"/>
    <w:rsid w:val="00880970"/>
    <w:rsid w:val="00882648"/>
    <w:rsid w:val="0088292A"/>
    <w:rsid w:val="00886EB9"/>
    <w:rsid w:val="008905C1"/>
    <w:rsid w:val="00895D3A"/>
    <w:rsid w:val="008976D5"/>
    <w:rsid w:val="008A26B5"/>
    <w:rsid w:val="008E0D7E"/>
    <w:rsid w:val="008F3CDB"/>
    <w:rsid w:val="008F41C6"/>
    <w:rsid w:val="009000B2"/>
    <w:rsid w:val="00921A49"/>
    <w:rsid w:val="009342B2"/>
    <w:rsid w:val="0095370B"/>
    <w:rsid w:val="00970ADA"/>
    <w:rsid w:val="0097238A"/>
    <w:rsid w:val="009735EB"/>
    <w:rsid w:val="00976E4A"/>
    <w:rsid w:val="0098247E"/>
    <w:rsid w:val="00987617"/>
    <w:rsid w:val="009876E6"/>
    <w:rsid w:val="009975CB"/>
    <w:rsid w:val="009B224C"/>
    <w:rsid w:val="009B6CFD"/>
    <w:rsid w:val="009D12D9"/>
    <w:rsid w:val="009D5417"/>
    <w:rsid w:val="009D6266"/>
    <w:rsid w:val="009F45C5"/>
    <w:rsid w:val="00A0610F"/>
    <w:rsid w:val="00A20F12"/>
    <w:rsid w:val="00A2729C"/>
    <w:rsid w:val="00A3292D"/>
    <w:rsid w:val="00A3378A"/>
    <w:rsid w:val="00A50DF8"/>
    <w:rsid w:val="00A7171E"/>
    <w:rsid w:val="00A818B3"/>
    <w:rsid w:val="00A9412A"/>
    <w:rsid w:val="00AB0D01"/>
    <w:rsid w:val="00AB4110"/>
    <w:rsid w:val="00AD7076"/>
    <w:rsid w:val="00AE1674"/>
    <w:rsid w:val="00AE4BC7"/>
    <w:rsid w:val="00AF2740"/>
    <w:rsid w:val="00B01F93"/>
    <w:rsid w:val="00B140C4"/>
    <w:rsid w:val="00B21F0C"/>
    <w:rsid w:val="00B231CB"/>
    <w:rsid w:val="00B27161"/>
    <w:rsid w:val="00B367FC"/>
    <w:rsid w:val="00B3732F"/>
    <w:rsid w:val="00B41E6C"/>
    <w:rsid w:val="00B4728F"/>
    <w:rsid w:val="00B4738D"/>
    <w:rsid w:val="00B504A2"/>
    <w:rsid w:val="00B514C8"/>
    <w:rsid w:val="00B55322"/>
    <w:rsid w:val="00B706F6"/>
    <w:rsid w:val="00B7171B"/>
    <w:rsid w:val="00B750D2"/>
    <w:rsid w:val="00B76165"/>
    <w:rsid w:val="00B90918"/>
    <w:rsid w:val="00BA3299"/>
    <w:rsid w:val="00BF077F"/>
    <w:rsid w:val="00BF5431"/>
    <w:rsid w:val="00C16598"/>
    <w:rsid w:val="00C371D5"/>
    <w:rsid w:val="00C52A3E"/>
    <w:rsid w:val="00C6140B"/>
    <w:rsid w:val="00C6175F"/>
    <w:rsid w:val="00C75B1F"/>
    <w:rsid w:val="00CA6EAA"/>
    <w:rsid w:val="00CC6973"/>
    <w:rsid w:val="00CD099D"/>
    <w:rsid w:val="00CE382F"/>
    <w:rsid w:val="00D04D3B"/>
    <w:rsid w:val="00D0792A"/>
    <w:rsid w:val="00D07F88"/>
    <w:rsid w:val="00D32803"/>
    <w:rsid w:val="00D35F9F"/>
    <w:rsid w:val="00D44E16"/>
    <w:rsid w:val="00D5739F"/>
    <w:rsid w:val="00D62FC6"/>
    <w:rsid w:val="00D723A5"/>
    <w:rsid w:val="00D837E2"/>
    <w:rsid w:val="00D85087"/>
    <w:rsid w:val="00DA7C6D"/>
    <w:rsid w:val="00DC3593"/>
    <w:rsid w:val="00DC4420"/>
    <w:rsid w:val="00DD0193"/>
    <w:rsid w:val="00DE18F8"/>
    <w:rsid w:val="00E21421"/>
    <w:rsid w:val="00E33562"/>
    <w:rsid w:val="00E35234"/>
    <w:rsid w:val="00E35C45"/>
    <w:rsid w:val="00E46450"/>
    <w:rsid w:val="00E54724"/>
    <w:rsid w:val="00E6416F"/>
    <w:rsid w:val="00E740DB"/>
    <w:rsid w:val="00E80168"/>
    <w:rsid w:val="00E877DE"/>
    <w:rsid w:val="00E87DEB"/>
    <w:rsid w:val="00E92E71"/>
    <w:rsid w:val="00EB350F"/>
    <w:rsid w:val="00EB5292"/>
    <w:rsid w:val="00EC69F0"/>
    <w:rsid w:val="00ED57D0"/>
    <w:rsid w:val="00EE1037"/>
    <w:rsid w:val="00F23382"/>
    <w:rsid w:val="00F26D87"/>
    <w:rsid w:val="00F333C7"/>
    <w:rsid w:val="00F67651"/>
    <w:rsid w:val="00F67938"/>
    <w:rsid w:val="00F740C6"/>
    <w:rsid w:val="00F77E64"/>
    <w:rsid w:val="00F87181"/>
    <w:rsid w:val="00F94272"/>
    <w:rsid w:val="00FA7A43"/>
    <w:rsid w:val="00FD14E9"/>
    <w:rsid w:val="00FD44CC"/>
    <w:rsid w:val="00FD4D9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7F33"/>
  <w15:docId w15:val="{6C47814B-3B3D-4901-97AB-AB924018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71D5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AB4110"/>
  </w:style>
  <w:style w:type="table" w:styleId="TableGrid">
    <w:name w:val="Table Grid"/>
    <w:basedOn w:val="TableNormal"/>
    <w:uiPriority w:val="59"/>
    <w:rsid w:val="00850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E0D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70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BE"/>
  </w:style>
  <w:style w:type="paragraph" w:styleId="Footer">
    <w:name w:val="footer"/>
    <w:basedOn w:val="Normal"/>
    <w:link w:val="FooterChar"/>
    <w:uiPriority w:val="99"/>
    <w:unhideWhenUsed/>
    <w:rsid w:val="003170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BE"/>
  </w:style>
  <w:style w:type="character" w:styleId="CommentReference">
    <w:name w:val="annotation reference"/>
    <w:basedOn w:val="DefaultParagraphFont"/>
    <w:uiPriority w:val="99"/>
    <w:semiHidden/>
    <w:unhideWhenUsed/>
    <w:rsid w:val="005C2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Zou20</b:Tag>
    <b:SourceType>JournalArticle</b:SourceType>
    <b:Guid>{FB8AA7C5-453E-4508-992C-DFA347910316}</b:Guid>
    <b:Title>Relationships Between Na+ Distribution, Concerted Migration, and Diffusion Properties in Rhombohedral NASICON </b:Title>
    <b:JournalName>Adv. Energy Mater.</b:JournalName>
    <b:Year>2020</b:Year>
    <b:Pages>2001486</b:Pages>
    <b:LCID>en-US</b:LCID>
    <b:Author>
      <b:Author>
        <b:NameList>
          <b:Person>
            <b:Last>Zou</b:Last>
            <b:First>Z.</b:First>
          </b:Person>
          <b:Person>
            <b:Last>Ma</b:Last>
            <b:First>N.</b:First>
          </b:Person>
          <b:Person>
            <b:Last>Wang</b:Last>
            <b:First>A.</b:First>
          </b:Person>
          <b:Person>
            <b:Last>Ran</b:Last>
            <b:First>Y.</b:First>
          </b:Person>
          <b:Person>
            <b:Last>Song</b:Last>
            <b:First>T.</b:First>
          </b:Person>
          <b:Person>
            <b:Last>Jiao</b:Last>
            <b:First>Y.</b:First>
          </b:Person>
          <b:Person>
            <b:Last>Liu</b:Last>
            <b:First>J.</b:First>
          </b:Person>
          <b:Person>
            <b:Last>Zhou</b:Last>
            <b:First>H.</b:First>
          </b:Person>
          <b:Person>
            <b:Last>Shi</b:Last>
            <b:First>W.</b:First>
          </b:Person>
          <b:Person>
            <b:Last>He</b:Last>
            <b:First>B.</b:First>
          </b:Person>
          <b:Person>
            <b:Last>Wang</b:Last>
            <b:First>D.</b:First>
          </b:Person>
          <b:Person>
            <b:Last>Li</b:Last>
            <b:First>Y.</b:First>
          </b:Person>
          <b:Person>
            <b:Last>Avdeev</b:Last>
            <b:First>M.</b:First>
          </b:Person>
          <b:Person>
            <b:Last>Shi</b:Last>
            <b:First>S.</b:First>
          </b:Person>
        </b:NameList>
      </b:Author>
    </b:Author>
    <b:Volume>10</b:Volume>
    <b:URL>https://doi.org/10.1002/aenm.202001486</b:URL>
    <b:RefOrder>13</b:RefOrder>
  </b:Source>
  <b:Source>
    <b:Tag>MZh20</b:Tag>
    <b:SourceType>JournalArticle</b:SourceType>
    <b:Guid>{647CFA82-C1A8-491C-B738-188F5F236090}</b:Guid>
    <b:Title>Exploring the links between crystal chemistry, cesium retention, thermochemistry and chemical durability in single-phase (Ba,Cs)1.33(Fe,Ti)8O16 hollandite</b:Title>
    <b:JournalName>J. Mater. Sci.</b:JournalName>
    <b:Year>2020</b:Year>
    <b:Pages>6401–6416</b:Pages>
    <b:LCID>en-US</b:LCID>
    <b:Author>
      <b:Author>
        <b:NameList>
          <b:Person>
            <b:Last>Zhao</b:Last>
            <b:First>M.</b:First>
          </b:Person>
          <b:Person>
            <b:Last>Russell</b:Last>
            <b:First>P.</b:First>
          </b:Person>
          <b:Person>
            <b:Last>Amoroso</b:Last>
            <b:First>J.</b:First>
          </b:Person>
          <b:Person>
            <b:Last>Misture</b:Last>
            <b:First>S.</b:First>
          </b:Person>
          <b:Person>
            <b:Last>Utlak</b:Last>
            <b:First>S.</b:First>
          </b:Person>
          <b:Person>
            <b:Last>Besmann</b:Last>
            <b:First>T.</b:First>
          </b:Person>
          <b:Person>
            <b:Last>Shuller-Nickles</b:Last>
            <b:First>L.</b:First>
          </b:Person>
          <b:Person>
            <b:Last>Brinkman</b:Last>
            <b:First>K.</b:First>
            <b:Middle>S.</b:Middle>
          </b:Person>
        </b:NameList>
      </b:Author>
    </b:Author>
    <b:Volume>55</b:Volume>
    <b:URL>https://link.springer.com/article/10.1007/s10853-020-04447-3</b:URL>
    <b:RefOrder>14</b:RefOrder>
  </b:Source>
  <b:Source>
    <b:Tag>Zha08</b:Tag>
    <b:SourceType>JournalArticle</b:SourceType>
    <b:Guid>{37CE9A4E-9412-4B6C-B2BA-02CF9F57C099}</b:Guid>
    <b:Title>Li∕Polymer Electrolyte∕Water Stable Lithium-Conducting Glass Ceramics Composite for Lithium–Air Secondary Batteries with an Aqueous Electrolyte</b:Title>
    <b:JournalName>J. Electrochem. Soc.</b:JournalName>
    <b:Year>2008</b:Year>
    <b:Pages>A965</b:Pages>
    <b:LCID>en-US</b:LCID>
    <b:Author>
      <b:Author>
        <b:NameList>
          <b:Person>
            <b:Last>Zhang</b:Last>
            <b:First>T.</b:First>
          </b:Person>
          <b:Person>
            <b:Last>Imanishi</b:Last>
            <b:First>N.</b:First>
          </b:Person>
          <b:Person>
            <b:Last>Hasegawa</b:Last>
            <b:First>S.</b:First>
          </b:Person>
          <b:Person>
            <b:Last>Hirano</b:Last>
            <b:First>A.</b:First>
          </b:Person>
          <b:Person>
            <b:Last>Xie</b:Last>
            <b:First>J.</b:First>
          </b:Person>
          <b:Person>
            <b:Last>Takeda</b:Last>
            <b:First>Y.</b:First>
          </b:Person>
          <b:Person>
            <b:Last>Yamamoto</b:Last>
            <b:First>O.</b:First>
          </b:Person>
          <b:Person>
            <b:Last>Sammes</b:Last>
            <b:First>N.</b:First>
          </b:Person>
        </b:NameList>
      </b:Author>
    </b:Author>
    <b:Volume>155</b:Volume>
    <b:URL>https://iopscience.iop.org/article/10.1149/1.2990717</b:URL>
    <b:RefOrder>15</b:RefOrder>
  </b:Source>
  <b:Source>
    <b:Tag>JVZ</b:Tag>
    <b:SourceType>JournalArticle</b:SourceType>
    <b:Guid>{50346C5A-1A36-40E8-8ACB-A5DD167D90BA}</b:Guid>
    <b:LCID>en-US</b:LCID>
    <b:Author>
      <b:Author>
        <b:NameList>
          <b:Person>
            <b:Last>Zaikina</b:Last>
            <b:First>J.</b:First>
            <b:Middle>V.</b:Middle>
          </b:Person>
          <b:Person>
            <b:Last>Muthuswamy</b:Last>
            <b:First>E.</b:First>
          </b:Person>
          <b:Person>
            <b:Last>Lilova</b:Last>
            <b:First>K.</b:First>
            <b:Middle>I.</b:Middle>
          </b:Person>
          <b:Person>
            <b:Last>Gibbs</b:Last>
            <b:First>Z.</b:First>
            <b:Middle>M.</b:Middle>
          </b:Person>
          <b:Person>
            <b:Last>Zeilinger</b:Last>
            <b:First>M.</b:First>
          </b:Person>
          <b:Person>
            <b:Last>Snyder</b:Last>
            <b:First>G.</b:First>
            <b:Middle>J.</b:Middle>
          </b:Person>
          <b:Person>
            <b:Last>Fässler</b:Last>
            <b:First>T.</b:First>
            <b:Middle>F.</b:Middle>
          </b:Person>
          <b:Person>
            <b:Last>Navrotsky</b:Last>
            <b:First>A.</b:First>
          </b:Person>
          <b:Person>
            <b:Last>Kauzlarich</b:Last>
            <b:First>S.</b:First>
            <b:Middle>M.</b:Middle>
          </b:Person>
        </b:NameList>
      </b:Author>
    </b:Author>
    <b:Title>Thermochemistry, Morphology, and Optical Characterization of Germanium Allotropes</b:Title>
    <b:JournalName>Chem. Mater</b:JournalName>
    <b:Year>2014</b:Year>
    <b:Pages>3263−3271</b:Pages>
    <b:Volume>26</b:Volume>
    <b:URL>https://pubs.acs.org/doi/abs/10.1021/cm5010467</b:URL>
    <b:RefOrder>16</b:RefOrder>
  </b:Source>
  <b:Source>
    <b:Tag>XuF10</b:Tag>
    <b:SourceType>JournalArticle</b:SourceType>
    <b:Guid>{BCDB9D45-F178-487C-A032-EFB472704668}</b:Guid>
    <b:Author>
      <b:Author>
        <b:NameList>
          <b:Person>
            <b:Last>Xu</b:Last>
            <b:First>F.</b:First>
          </b:Person>
          <b:Person>
            <b:Last>Navrotsky</b:Last>
            <b:First>A.</b:First>
          </b:Person>
        </b:NameList>
      </b:Author>
    </b:Author>
    <b:Title>Enthalpies of Formation of Pyrrhotite Fe1-0.125xS (0 ≤ x ≤ 1) Solid Solutions</b:Title>
    <b:JournalName>Am. Miner.</b:JournalName>
    <b:Year>2010</b:Year>
    <b:Pages>717–723</b:Pages>
    <b:LCID>en-US</b:LCID>
    <b:Volume>95</b:Volume>
    <b:URL>https://pubs.geoscienceworld.org/msa/ammin/article-abstract/95/5-6/717/45136/Enthalpies-of-formation-of-pyrrhotite-Fe1-0-125xS?redirectedFrom=fulltext</b:URL>
    <b:RefOrder>17</b:RefOrder>
  </b:Source>
  <b:Source>
    <b:Tag>FXu11</b:Tag>
    <b:SourceType>JournalArticle</b:SourceType>
    <b:Guid>{2B334F7D-B200-479A-B200-C4DF5ACF3B47}</b:Guid>
    <b:Title>Enthalpies of formation of CdSxSe1–x solid solutions</b:Title>
    <b:JournalName>J. Mater. Res.</b:JournalName>
    <b:Year> 2009</b:Year>
    <b:Pages>1368-1374</b:Pages>
    <b:LCID>en-US</b:LCID>
    <b:Author>
      <b:Author>
        <b:NameList>
          <b:Person>
            <b:Last>Xu</b:Last>
            <b:First>F.</b:First>
          </b:Person>
          <b:Person>
            <b:Last>Ma</b:Last>
            <b:First>X.</b:First>
          </b:Person>
          <b:Person>
            <b:Last>Kauzlarich</b:Last>
            <b:First>S.</b:First>
            <b:Middle>M.</b:Middle>
          </b:Person>
          <b:Person>
            <b:Last>Navrotsky</b:Last>
            <b:First>A.</b:First>
          </b:Person>
        </b:NameList>
      </b:Author>
    </b:Author>
    <b:Volume>24</b:Volume>
    <b:URL>https://www.cambridge.org/core/journals/journal-of-materials-research/article/enthalpies-of-formation-of-cdsxse1x-solid-solutions/228BDFA2F61E159922518917934C4067</b:URL>
    <b:RefOrder>18</b:RefOrder>
  </b:Source>
  <b:Source>
    <b:Tag>AAV20</b:Tag>
    <b:SourceType>JournalArticle</b:SourceType>
    <b:Guid>{94592423-6DA5-44BD-964A-9BAF9F0CF5EB}</b:Guid>
    <b:Author>
      <b:Author>
        <b:NameList>
          <b:Person>
            <b:Last>Voskanyan</b:Last>
            <b:First>A.</b:First>
            <b:Middle>A.</b:Middle>
          </b:Person>
          <b:Person>
            <b:Last>Abramchuk</b:Last>
            <b:First>M.</b:First>
          </b:Person>
          <b:Person>
            <b:Last>Navrotsky</b:Last>
            <b:First>A.</b:First>
          </b:Person>
        </b:NameList>
      </b:Author>
    </b:Author>
    <b:Title>Entropy Stabilization of TiO2-Nb2O5 Wadsley-Roth Shear Phases and their Prospects for Lithium Ion Battery Anode Materials</b:Title>
    <b:JournalName>Chem. Mater.</b:JournalName>
    <b:Year>2020</b:Year>
    <b:Pages>5301–5308</b:Pages>
    <b:LCID>en-US</b:LCID>
    <b:Volume>32</b:Volume>
    <b:URL>https://pubs.acs.org/doi/abs/10.1021/acs.chemmater.0c01553</b:URL>
    <b:RefOrder>19</b:RefOrder>
  </b:Source>
  <b:Source>
    <b:Tag>TVa07</b:Tag>
    <b:SourceType>JournalArticle</b:SourceType>
    <b:Guid>{DCAC7A6D-587C-486A-B59B-AFD33225244A}</b:Guid>
    <b:LCID>en-US</b:LCID>
    <b:Title>Thermodynamically Stable SixOyCz Polymer‐Like Amorphous Ceramics</b:Title>
    <b:JournalName>J. Am. Ceram. Soc.</b:JournalName>
    <b:Year>2007</b:Year>
    <b:Pages>3213–3219</b:Pages>
    <b:Volume>90</b:Volume>
    <b:Author>
      <b:Author>
        <b:NameList>
          <b:Person>
            <b:Last>Varga</b:Last>
            <b:First>T.</b:First>
          </b:Person>
          <b:Person>
            <b:Last>Navrotsky</b:Last>
            <b:First>A.</b:First>
          </b:Person>
          <b:Person>
            <b:Last>Moats</b:Last>
            <b:First>J.</b:First>
            <b:Middle>L.</b:Middle>
          </b:Person>
          <b:Person>
            <b:Last>Morcos</b:Last>
            <b:First>R.</b:First>
            <b:Middle>M.</b:Middle>
          </b:Person>
          <b:Person>
            <b:Last>Poli</b:Last>
            <b:First>F.</b:First>
          </b:Person>
          <b:Person>
            <b:Last>Müller</b:Last>
            <b:First>K.</b:First>
          </b:Person>
          <b:Person>
            <b:Last>Saha</b:Last>
            <b:First>A.</b:First>
          </b:Person>
          <b:Person>
            <b:Last>Raj</b:Last>
            <b:First>R.</b:First>
          </b:Person>
        </b:NameList>
      </b:Author>
    </b:Author>
    <b:URL>https://ceramics.onlinelibrary.wiley.com/doi/abs/10.1111/j.1551-2916.2007.01874.x</b:URL>
    <b:RefOrder>20</b:RefOrder>
  </b:Source>
  <b:Source>
    <b:Tag>Ush04</b:Tag>
    <b:SourceType>JournalArticle</b:SourceType>
    <b:Guid>{ABC27792-170B-4784-B295-4424712A051A}</b:Guid>
    <b:Title>Thermochemistry of the alkali rare-earth double phosphates, A3RE(PO4)2</b:Title>
    <b:JournalName>J. Mater. Res.</b:JournalName>
    <b:Year>2004</b:Year>
    <b:Pages>2165-2175</b:Pages>
    <b:Author>
      <b:Author>
        <b:NameList>
          <b:Person>
            <b:Last>Ushakov</b:Last>
            <b:First>S.</b:First>
            <b:Middle>V.</b:Middle>
          </b:Person>
          <b:Person>
            <b:Last>Navrotsky</b:Last>
            <b:First>A.</b:First>
          </b:Person>
        </b:NameList>
      </b:Author>
    </b:Author>
    <b:Volume>19</b:Volume>
    <b:URL>https://doi.org/10.1557/JMR.2004.0283</b:URL>
    <b:RefOrder>21</b:RefOrder>
  </b:Source>
  <b:Source>
    <b:Tag>SVU01</b:Tag>
    <b:SourceType>JournalArticle</b:SourceType>
    <b:Guid>{0BC3B8D6-B29C-4ED1-9DA6-CFD8497FA7AA}</b:Guid>
    <b:LCID>en-US</b:LCID>
    <b:Title>Thermochemistry of Rare‐Earth Orthophosphates</b:Title>
    <b:JournalName>J. Mater. Res.</b:JournalName>
    <b:Year>2001</b:Year>
    <b:Pages>2623–2633</b:Pages>
    <b:Author>
      <b:Author>
        <b:NameList>
          <b:Person>
            <b:Last>Ushakov</b:Last>
            <b:First>S.</b:First>
            <b:Middle>V.</b:Middle>
          </b:Person>
          <b:Person>
            <b:Last>Helean</b:Last>
            <b:First>K.</b:First>
            <b:Middle>B.</b:Middle>
          </b:Person>
          <b:Person>
            <b:Last>Navrotsky</b:Last>
            <b:First>A.</b:First>
          </b:Person>
          <b:Person>
            <b:Last>Boatner</b:Last>
            <b:First>L.</b:First>
            <b:Middle>A.</b:Middle>
          </b:Person>
        </b:NameList>
      </b:Author>
    </b:Author>
    <b:Volume>16</b:Volume>
    <b:URL>https://www.cambridge.org/core/journals/journal-of-materials-research/article/thermochemistry-of-rareearth-orthophosphates/ED8A2A1ED11774047F8667ED20DE57E6</b:URL>
    <b:RefOrder>22</b:RefOrder>
  </b:Source>
  <b:Source>
    <b:Tag>TBT12</b:Tag>
    <b:SourceType>JournalArticle</b:SourceType>
    <b:Guid>{33511765-D6F0-4B3A-97BD-BE2B0926C912}</b:Guid>
    <b:Title>Energetics of Dysprosia-Stabilized Bismuth Oxide Electrolytes</b:Title>
    <b:Year>2012</b:Year>
    <b:LCID>en-US</b:LCID>
    <b:JournalName>Chem. Mater.</b:JournalName>
    <b:Pages>4185-4191</b:Pages>
    <b:Author>
      <b:Author>
        <b:NameList>
          <b:Person>
            <b:Last>Tran</b:Last>
            <b:First>T.</b:First>
            <b:Middle>B.</b:Middle>
          </b:Person>
          <b:Person>
            <b:Last>Navrotsky</b:Last>
            <b:First>A.</b:First>
          </b:Person>
        </b:NameList>
      </b:Author>
    </b:Author>
    <b:Volume>24</b:Volume>
    <b:URL>https://pubs.acs.org/doi/10.1021/cm302446e</b:URL>
    <b:RefOrder>23</b:RefOrder>
  </b:Source>
  <b:Source>
    <b:Tag>FTe00</b:Tag>
    <b:SourceType>JournalArticle</b:SourceType>
    <b:Guid>{82B87701-5563-45C3-B05A-CA46098587B6}</b:Guid>
    <b:Title>Energetics of Binary Iron Nitrides </b:Title>
    <b:JournalName>Solid State Sci.</b:JournalName>
    <b:Year>2000</b:Year>
    <b:Pages>457–462</b:Pages>
    <b:LCID>en-US</b:LCID>
    <b:Author>
      <b:Author>
        <b:NameList>
          <b:Person>
            <b:Last>Tessier</b:Last>
            <b:First>F.</b:First>
          </b:Person>
          <b:Person>
            <b:Last>Navrotsky</b:Last>
            <b:First>A.</b:First>
          </b:Person>
          <b:Person>
            <b:Last>Niewa</b:Last>
            <b:First>R.</b:First>
          </b:Person>
          <b:Person>
            <b:Last>Leineweber</b:Last>
            <b:First>A.</b:First>
          </b:Person>
          <b:Person>
            <b:Last>Jacobs</b:Last>
            <b:First>H.</b:First>
          </b:Person>
          <b:Person>
            <b:Last>Kikkawa</b:Last>
            <b:First>S.</b:First>
          </b:Person>
          <b:Person>
            <b:Last>Takahashi</b:Last>
            <b:First>M.</b:First>
          </b:Person>
          <b:Person>
            <b:Last>Kanamaru</b:Last>
            <b:First>F.</b:First>
          </b:Person>
          <b:Person>
            <b:Last>DiSalvo</b:Last>
            <b:First>F.</b:First>
            <b:Middle>J.</b:Middle>
          </b:Person>
        </b:NameList>
      </b:Author>
    </b:Author>
    <b:Volume>2</b:Volume>
    <b:URL>https://www.sciencedirect.com/science/article/pii/S1293255800001515</b:URL>
    <b:RefOrder>24</b:RefOrder>
  </b:Source>
  <b:Source>
    <b:Tag>AHT13</b:Tag>
    <b:SourceType>JournalArticle</b:SourceType>
    <b:Guid>{15681D1A-03E2-4EA8-B301-1B5ED73F7783}</b:Guid>
    <b:Title>Enthalpies of Formation of Fe-Ni Monosulfide Solid Solutions</b:Title>
    <b:JournalName>Am. Miner.</b:JournalName>
    <b:Year>2013</b:Year>
    <b:Pages>1508–1515</b:Pages>
    <b:LCID>en-US</b:LCID>
    <b:Author>
      <b:Author>
        <b:NameList>
          <b:Person>
            <b:Last>Tavakoli</b:Last>
            <b:First>A.</b:First>
            <b:Middle>H.</b:Middle>
          </b:Person>
          <b:Person>
            <b:Last>Navrotsky</b:Last>
            <b:First>A.</b:First>
          </b:Person>
        </b:NameList>
      </b:Author>
    </b:Author>
    <b:Volume>98</b:Volume>
    <b:URL>https://pubs.geoscienceworld.org/msa/ammin/article-abstract/98/8-9/1508/45928/Enthalpies-of-formation-of-Fe-Ni-monosulfide-solid?redirectedFrom=fulltext</b:URL>
    <b:RefOrder>25</b:RefOrder>
  </b:Source>
  <b:Source>
    <b:Tag>AHT12</b:Tag>
    <b:SourceType>JournalArticle</b:SourceType>
    <b:Guid>{FA053670-F9AC-4114-AD9F-32CE0E9F1589}</b:Guid>
    <b:Title>Effect of boron on the thermodynamic stability of amorphous polymer-derived Si(B)CN ceramics</b:Title>
    <b:JournalName>Acta Mater.</b:JournalName>
    <b:Year>2012</b:Year>
    <b:Pages>4514-4522</b:Pages>
    <b:LCID>en-US</b:LCID>
    <b:Author>
      <b:Author>
        <b:NameList>
          <b:Person>
            <b:Last>Tavakoli</b:Last>
            <b:First>A.</b:First>
            <b:Middle>H.</b:Middle>
          </b:Person>
          <b:Person>
            <b:Last>Golczewski</b:Last>
            <b:First>J.</b:First>
            <b:Middle>A.</b:Middle>
          </b:Person>
          <b:Person>
            <b:Last>J. Bill</b:Last>
            <b:First>A.</b:First>
            <b:Middle>Navrotsky</b:Middle>
          </b:Person>
        </b:NameList>
      </b:Author>
    </b:Author>
    <b:Volume>60</b:Volume>
    <b:URL>https://www.sciencedirect.com/science/article/abs/pii/S1359645412003187</b:URL>
    <b:RefOrder>26</b:RefOrder>
  </b:Source>
  <b:Source>
    <b:Tag>ETa88</b:Tag>
    <b:SourceType>JournalArticle</b:SourceType>
    <b:Guid>{32B76300-67E6-4C9A-B94D-0DD6E100E218}</b:Guid>
    <b:LCID>en-US</b:LCID>
    <b:Author>
      <b:Author>
        <b:NameList>
          <b:Person>
            <b:Last>Takayama-Muromachi</b:Last>
            <b:First>E.</b:First>
          </b:Person>
          <b:Person>
            <b:Last>Navrotsky</b:Last>
            <b:First>A.</b:First>
          </b:Person>
        </b:NameList>
      </b:Author>
    </b:Author>
    <b:Title>Energetics of compounds (A2+B4+O3) with the perovskite structure</b:Title>
    <b:JournalName>J. Solid State Chem.</b:JournalName>
    <b:Year>1988</b:Year>
    <b:Pages>244-256</b:Pages>
    <b:Volume>72</b:Volume>
    <b:URL>https://www.sciencedirect.com/science/article/pii/002245968890028X</b:URL>
    <b:RefOrder>27</b:RefOrder>
  </b:Source>
  <b:Source>
    <b:Tag>Sha70</b:Tag>
    <b:SourceType>JournalArticle</b:SourceType>
    <b:Guid>{746A7841-2A20-493C-B2E8-5C08B18AD478}</b:Guid>
    <b:Title>Revised values of effective ionic radii</b:Title>
    <b:JournalName>Acta Cryst.</b:JournalName>
    <b:Year>1970</b:Year>
    <b:Pages>1046-1048</b:Pages>
    <b:LCID>en-US</b:LCID>
    <b:Author>
      <b:Author>
        <b:NameList>
          <b:Person>
            <b:Last>Shannon</b:Last>
            <b:First>R.</b:First>
            <b:Middle>D.</b:Middle>
          </b:Person>
          <b:Person>
            <b:Last>Prewitt</b:Last>
            <b:First>C.</b:First>
            <b:Middle>T.</b:Middle>
          </b:Person>
        </b:NameList>
      </b:Author>
    </b:Author>
    <b:Volume>B26</b:Volume>
    <b:URL>https://doi.org/10.1107/S0567740870003576</b:URL>
    <b:RefOrder>28</b:RefOrder>
  </b:Source>
  <b:Source>
    <b:Tag>SVM97</b:Tag>
    <b:SourceType>JournalArticle</b:SourceType>
    <b:Guid>{A68ED956-EFF9-4470-ADD8-00CFFB467A13}</b:Guid>
    <b:LCID>en-US</b:LCID>
    <b:Title>Standard enthalpies of formation of some 3d transition metal carbides by high temperature reaction calorimetry</b:Title>
    <b:JournalName>J. Alloys Compd</b:JournalName>
    <b:Year>1997</b:Year>
    <b:Pages>227-233</b:Pages>
    <b:Author>
      <b:Author>
        <b:NameList>
          <b:Person>
            <b:Last>S.V.Meschel</b:Last>
          </b:Person>
          <b:Person>
            <b:Last>O.J.Kleppa</b:Last>
          </b:Person>
        </b:NameList>
      </b:Author>
    </b:Author>
    <b:Volume>257</b:Volume>
    <b:URL>https://www.sciencedirect.com/science/article/pii/S0925838897000236</b:URL>
    <b:RefOrder>29</b:RefOrder>
  </b:Source>
  <b:Source>
    <b:Tag>Rus16</b:Tag>
    <b:SourceType>JournalArticle</b:SourceType>
    <b:Guid>{7C062591-A03D-473B-BEBA-029CC3963205}</b:Guid>
    <b:LCID>en-US</b:LCID>
    <b:Title>First-principles calculation of the stabilities of LMP/LAMP lithium superionic conductors against sodium-ion exchange in seawater</b:Title>
    <b:JournalName>arXiv:1606.02177</b:JournalName>
    <b:Year>2016</b:Year>
    <b:Author>
      <b:Author>
        <b:NameList>
          <b:Person>
            <b:Last>Rustad</b:Last>
            <b:First>J.</b:First>
            <b:Middle>R.</b:Middle>
          </b:Person>
        </b:NameList>
      </b:Author>
    </b:Author>
    <b:URL>https://arxiv.org/abs/1606.02177</b:URL>
    <b:RefOrder>30</b:RefOrder>
  </b:Source>
  <b:Source>
    <b:Tag>Ros18</b:Tag>
    <b:SourceType>JournalArticle</b:SourceType>
    <b:Guid>{A84B5451-6232-4BCA-B949-8DFAA7AD4C4A}</b:Guid>
    <b:Title>Structural and transport properties of lithium-conducting NASICON materials</b:Title>
    <b:JournalName>J. Power Sources</b:JournalName>
    <b:Year>2018</b:Year>
    <b:Pages>1-9</b:Pages>
    <b:Author>
      <b:Author>
        <b:NameList>
          <b:Person>
            <b:Last>Rossbach</b:Last>
            <b:First>A.</b:First>
          </b:Person>
          <b:Person>
            <b:Last>Tietz</b:Last>
            <b:First>F.</b:First>
          </b:Person>
          <b:Person>
            <b:Last>Grieshammer</b:Last>
            <b:First>S.</b:First>
          </b:Person>
        </b:NameList>
      </b:Author>
    </b:Author>
    <b:Volume>391</b:Volume>
    <b:URL>https://doi.org/10.1016/j.jpowsour.2018.04.059</b:URL>
    <b:RefOrder>31</b:RefOrder>
  </b:Source>
  <b:Source>
    <b:Tag>RAR95</b:Tag>
    <b:SourceType>Book</b:SourceType>
    <b:Guid>{CACA1F81-2884-4811-8257-5808805F2372}</b:Guid>
    <b:Title>Thermodynamic properties of minerals and related substances at 298.15 K and 1 bar (10^5 pascals) pressure and at higher temperatures</b:Title>
    <b:Year>1995</b:Year>
    <b:City>Washington, DC</b:City>
    <b:Publisher>United States Government Printing Office</b:Publisher>
    <b:LCID>en-US</b:LCID>
    <b:Author>
      <b:Author>
        <b:NameList>
          <b:Person>
            <b:Last>Robie</b:Last>
            <b:First>R.</b:First>
            <b:Middle>A.</b:Middle>
          </b:Person>
          <b:Person>
            <b:Last>Hemingway</b:Last>
            <b:First>B.</b:First>
            <b:Middle>S.</b:Middle>
          </b:Person>
        </b:NameList>
      </b:Author>
    </b:Author>
    <b:URL>https://pubs.er.usgs.gov/publication/b2131</b:URL>
    <b:RefOrder>8</b:RefOrder>
  </b:Source>
  <b:Source>
    <b:Tag>Ret16</b:Tag>
    <b:SourceType>JournalArticle</b:SourceType>
    <b:Guid>{A72762B3-910A-4932-BDE7-5D42E170B9C6}</b:Guid>
    <b:Title>A microcontact impedance study on NASICON-type Li1+xAlxTi2-x(PO4)3 (0x0.5) single crystals</b:Title>
    <b:JournalName>J. Mater. Chem. A</b:JournalName>
    <b:Year>2016</b:Year>
    <b:Pages>1506–1513</b:Pages>
    <b:LCID>en-US</b:LCID>
    <b:Author>
      <b:Author>
        <b:NameList>
          <b:Person>
            <b:Last>Rettenwander</b:Last>
            <b:First>D.</b:First>
          </b:Person>
          <b:Person>
            <b:Last>Welzl</b:Last>
            <b:First>A.</b:First>
          </b:Person>
          <b:Person>
            <b:Last>Pristat</b:Last>
            <b:First>S.</b:First>
          </b:Person>
          <b:Person>
            <b:Last>Tietz</b:Last>
            <b:First>F.</b:First>
          </b:Person>
          <b:Person>
            <b:Last>Taibl</b:Last>
            <b:First>S.</b:First>
          </b:Person>
          <b:Person>
            <b:Last>Redhammer</b:Last>
            <b:First>G.</b:First>
            <b:Middle>J.</b:Middle>
          </b:Person>
          <b:Person>
            <b:Last>Fleig</b:Last>
            <b:First>J.</b:First>
          </b:Person>
        </b:NameList>
      </b:Author>
    </b:Author>
    <b:Volume>4</b:Volume>
    <b:URL>https://doi.org/10.1039/C5TA08545D</b:URL>
    <b:RefOrder>32</b:RefOrder>
  </b:Source>
  <b:Source>
    <b:Tag>Ret86</b:Tag>
    <b:SourceType>JournalArticle</b:SourceType>
    <b:Guid>{9900EB23-7F2B-4AC0-88FA-02F177DB1E84}</b:Guid>
    <b:Title>Effect of Metal-Oxygen Bond Strength on Properties of Oxides. 1. Infrared Spectroscopy of Adsorbed CO and C02</b:Title>
    <b:JournalName>Langmuir</b:JournalName>
    <b:Year>1986</b:Year>
    <b:Pages>73-79</b:Pages>
    <b:LCID>en-US</b:LCID>
    <b:Author>
      <b:Author>
        <b:NameList>
          <b:Person>
            <b:Last>Rethwisch</b:Last>
            <b:First>D.</b:First>
            <b:Middle>G.</b:Middle>
          </b:Person>
          <b:Person>
            <b:Last>Dumesic</b:Last>
            <b:First>J.</b:First>
            <b:Middle>A.</b:Middle>
          </b:Person>
        </b:NameList>
      </b:Author>
    </b:Author>
    <b:Volume>2</b:Volume>
    <b:URL>https://doi.org/10.1021/la00067a013</b:URL>
    <b:RefOrder>33</b:RefOrder>
  </b:Source>
  <b:Source>
    <b:Tag>Red16</b:Tag>
    <b:SourceType>JournalArticle</b:SourceType>
    <b:Guid>{39CBC2E1-8B94-4D9D-A4E4-4A80CD9FC326}</b:Guid>
    <b:Title>A single crystal X-ray and powder neutron diffraction study on NASICON-type Li1+xAlxTi2-x(PO4)3 (0x0.5) crystals: Implications on ionic conductivity</b:Title>
    <b:JournalName>Solid State Sci.</b:JournalName>
    <b:Year>2016</b:Year>
    <b:Pages>99-107</b:Pages>
    <b:LCID>en-US</b:LCID>
    <b:Author>
      <b:Author>
        <b:NameList>
          <b:Person>
            <b:Last>Redhammer</b:Last>
            <b:First>G.</b:First>
            <b:Middle>J.</b:Middle>
          </b:Person>
          <b:Person>
            <b:Last>Rettenwander</b:Last>
            <b:First>D.</b:First>
          </b:Person>
          <b:Person>
            <b:Last>Pristat</b:Last>
            <b:First>S.</b:First>
          </b:Person>
          <b:Person>
            <b:Last>Dashjav</b:Last>
            <b:First>E.</b:First>
          </b:Person>
          <b:Person>
            <b:Last>Kumar</b:Last>
            <b:First>C.</b:First>
            <b:Middle>M. N.</b:Middle>
          </b:Person>
          <b:Person>
            <b:Last>Topa</b:Last>
            <b:First>D.</b:First>
          </b:Person>
          <b:Person>
            <b:Last>Tietz</b:Last>
            <b:First>F.</b:First>
          </b:Person>
        </b:NameList>
      </b:Author>
    </b:Author>
    <b:Volume>60</b:Volume>
    <b:URL>https://doi.org/10.1016/j.solidstatesciences.2016.08.011</b:URL>
    <b:RefOrder>34</b:RefOrder>
  </b:Source>
  <b:Source>
    <b:Tag>MRR00</b:Tag>
    <b:SourceType>JournalArticle</b:SourceType>
    <b:Guid>{411C40CD-4BC9-4181-B2AB-0B4A025B80AD}</b:Guid>
    <b:Title>Enthalpy of Formation of Gallium Nitride</b:Title>
    <b:JournalName>J. Phys. Chem. B</b:JournalName>
    <b:Year>2000</b:Year>
    <b:Pages>4060–4063</b:Pages>
    <b:LCID>en-US</b:LCID>
    <b:Author>
      <b:Author>
        <b:NameList>
          <b:Person>
            <b:Last>Ranade</b:Last>
            <b:First>M.</b:First>
            <b:Middle>R.</b:Middle>
          </b:Person>
          <b:Person>
            <b:Last>Tessier</b:Last>
            <b:First>F.</b:First>
          </b:Person>
          <b:Person>
            <b:Last>Navrotsky</b:Last>
            <b:First>A.</b:First>
          </b:Person>
          <b:Person>
            <b:Last>Leppert</b:Last>
            <b:First>V.</b:First>
            <b:Middle>J.</b:Middle>
          </b:Person>
          <b:Person>
            <b:Last>Risbud</b:Last>
            <b:First>S.</b:First>
            <b:Middle>H.</b:Middle>
          </b:Person>
          <b:Person>
            <b:Last>DiSalvo</b:Last>
            <b:First>F.</b:First>
            <b:Middle>J.</b:Middle>
          </b:Person>
          <b:Person>
            <b:Last>Balkas</b:Last>
            <b:First>C.</b:First>
            <b:Middle>M.</b:Middle>
          </b:Person>
        </b:NameList>
      </b:Author>
    </b:Author>
    <b:Volume>104</b:Volume>
    <b:URL>https://pubs.acs.org/doi/10.1021/jp993752s</b:URL>
    <b:RefOrder>35</b:RefOrder>
  </b:Source>
  <b:Source>
    <b:Tag>MRR01</b:Tag>
    <b:SourceType>JournalArticle</b:SourceType>
    <b:Guid>{A229EF99-88EE-4F0F-9B9B-036FBB7102F5}</b:Guid>
    <b:LCID>en-US</b:LCID>
    <b:Title>Calorimetric Determination of the Enthalpy of Formation of InN and Comparison with AlN and GaN</b:Title>
    <b:JournalName>J. Mater. Res.</b:JournalName>
    <b:Year>2001</b:Year>
    <b:Pages>2824–2831</b:Pages>
    <b:Author>
      <b:Author>
        <b:NameList>
          <b:Person>
            <b:Last>Ranade</b:Last>
            <b:First>M.</b:First>
            <b:Middle>R.</b:Middle>
          </b:Person>
          <b:Person>
            <b:Last>Tessier</b:Last>
            <b:First>F.</b:First>
          </b:Person>
          <b:Person>
            <b:Last>Navrotsky</b:Last>
            <b:First>A.</b:First>
          </b:Person>
          <b:Person>
            <b:Last>Marchand</b:Last>
            <b:First>R.</b:First>
          </b:Person>
        </b:NameList>
      </b:Author>
    </b:Author>
    <b:Volume>16</b:Volume>
    <b:URL>https://www.cambridge.org/core/journals/journal-of-materials-research/article/calorimetric-determination-of-the-enthalpy-of-formation-of-inn-and-comparison-with-aln-and-gan/5F9277F606E4280BE428803BAC7659F6</b:URL>
    <b:RefOrder>36</b:RefOrder>
  </b:Source>
  <b:Source>
    <b:Tag>ÅOl05</b:Tag>
    <b:SourceType>Book</b:SourceType>
    <b:Guid>{29BC1C73-1638-4DE9-ADE5-A4ED8457EB8A}</b:Guid>
    <b:LCID>en-US</b:LCID>
    <b:Title>Chemical Thermodynamics of Selenium, Volume 7</b:Title>
    <b:Year>2005</b:Year>
    <b:Publisher>Elsevier</b:Publisher>
    <b:Author>
      <b:Author>
        <b:NameList>
          <b:Person>
            <b:Last>Olin</b:Last>
            <b:First>Å.</b:First>
          </b:Person>
          <b:Person>
            <b:Last>Noläng</b:Last>
            <b:First>B.</b:First>
          </b:Person>
          <b:Person>
            <b:Last>Osadchii</b:Last>
            <b:First>E.</b:First>
            <b:Middle>G.</b:Middle>
          </b:Person>
          <b:Person>
            <b:Last>Öhman</b:Last>
            <b:First>L.-O.</b:First>
          </b:Person>
          <b:Person>
            <b:Last>Rosen</b:Last>
            <b:First>E.</b:First>
          </b:Person>
        </b:NameList>
      </b:Author>
    </b:Author>
    <b:City>Amsterdam</b:City>
    <b:RefOrder>37</b:RefOrder>
  </b:Source>
  <b:Source>
    <b:Tag>LOg17</b:Tag>
    <b:SourceType>JournalArticle</b:SourceType>
    <b:Guid>{15EB630E-3BC1-45B9-9F84-62F02D079414}</b:Guid>
    <b:LCID>en-US</b:LCID>
    <b:Title>Enthalpy of formation of natural hydrous iron phosphate: Vivianite</b:Title>
    <b:JournalName>J. Chem. Thermodynamics</b:JournalName>
    <b:Year>2017</b:Year>
    <b:Pages>193-200</b:Pages>
    <b:Author>
      <b:Author>
        <b:NameList>
          <b:Person>
            <b:Last>Ogorodova</b:Last>
            <b:First>L.</b:First>
          </b:Person>
          <b:Person>
            <b:Last>Vigasina</b:Last>
            <b:First>M.</b:First>
          </b:Person>
          <b:Person>
            <b:Last>Mel'chakova</b:Last>
            <b:First>L.</b:First>
          </b:Person>
          <b:Person>
            <b:Last>Rusakov</b:Last>
            <b:First>V.</b:First>
          </b:Person>
          <b:Person>
            <b:Last>Kosova</b:Last>
            <b:First>D.</b:First>
          </b:Person>
          <b:Person>
            <b:Last>Ksenofontov</b:Last>
            <b:First>D.</b:First>
          </b:Person>
          <b:Person>
            <b:Last>Bryzgalov</b:Last>
            <b:First>I.</b:First>
          </b:Person>
        </b:NameList>
      </b:Author>
    </b:Author>
    <b:Volume>110</b:Volume>
    <b:URL>https://www.sciencedirect.com/science/article/pii/S0021961417300526?via%3Dihub</b:URL>
    <b:RefOrder>38</b:RefOrder>
  </b:Source>
  <b:Source>
    <b:Tag>LPO18</b:Tag>
    <b:SourceType>JournalArticle</b:SourceType>
    <b:Guid>{1AED3A71-282C-480C-B6BB-088BDDC18FE9}</b:Guid>
    <b:Title>Calorimetric Study of Natural Anapaite</b:Title>
    <b:JournalName>Geochemistry Int.</b:JournalName>
    <b:Year>2018</b:Year>
    <b:Pages>397-401</b:Pages>
    <b:LCID>en-US</b:LCID>
    <b:Author>
      <b:Author>
        <b:NameList>
          <b:Person>
            <b:Last>Ogorodova</b:Last>
            <b:First>L.</b:First>
            <b:Middle>P.</b:Middle>
          </b:Person>
          <b:Person>
            <b:Last>Melchakova</b:Last>
            <b:First>L.</b:First>
            <b:Middle>V.</b:Middle>
          </b:Person>
          <b:Person>
            <b:Last>Vigasina</b:Last>
            <b:First>M.</b:First>
            <b:Middle>F.</b:Middle>
          </b:Person>
          <b:Person>
            <b:Last>Ksenofontov</b:Last>
            <b:First>D.</b:First>
            <b:Middle>A.</b:Middle>
          </b:Person>
          <b:Person>
            <b:Last>Bryzgalo</b:Last>
            <b:First>I.</b:First>
            <b:Middle>A.</b:Middle>
          </b:Person>
        </b:NameList>
      </b:Author>
    </b:Author>
    <b:Volume>56</b:Volume>
    <b:URL>https://search.proquest.com/docview/2021754761?accountid=14505</b:URL>
    <b:RefOrder>39</b:RefOrder>
  </b:Source>
  <b:Source>
    <b:Tag>SPh14</b:Tag>
    <b:SourceType>JournalArticle</b:SourceType>
    <b:Guid>{4E31387A-4488-4B19-B47A-94C9B01A7879}</b:Guid>
    <b:Title>Thermochemistry of complex perovskites</b:Title>
    <b:JournalName>AIP Conf. Proc.</b:JournalName>
    <b:Year>2000</b:Year>
    <b:Pages>288-296</b:Pages>
    <b:LCID>en-US</b:LCID>
    <b:Author>
      <b:Author>
        <b:NameList>
          <b:Person>
            <b:Last>Navrotsky</b:Last>
            <b:First>A.</b:First>
          </b:Person>
        </b:NameList>
      </b:Author>
    </b:Author>
    <b:Volume>535</b:Volume>
    <b:URL>https://aip.scitation.org/doi/abs/10.1063/1.1324466</b:URL>
    <b:RefOrder>40</b:RefOrder>
  </b:Source>
  <b:Source>
    <b:Tag>ANa76</b:Tag>
    <b:SourceType>JournalArticle</b:SourceType>
    <b:Guid>{C8F83975-4455-4C06-A365-94695DFC8D30}</b:Guid>
    <b:Title>Spinel disproportionation at high pressure: calorimetric determination of enthalpy of formation of Mg2SnO4 and Co2SnO4 and some implications for silicates</b:Title>
    <b:JournalName>Earth Planet. Sci. Lett.</b:JournalName>
    <b:Year>1976</b:Year>
    <b:Pages>247-254</b:Pages>
    <b:LCID>en-US</b:LCID>
    <b:Author>
      <b:Author>
        <b:NameList>
          <b:Person>
            <b:Last>Navrotsky</b:Last>
            <b:First>A.</b:First>
          </b:Person>
          <b:Person>
            <b:Last>Kasper</b:Last>
            <b:First>R.</b:First>
            <b:Middle>B.</b:Middle>
          </b:Person>
        </b:NameList>
      </b:Author>
    </b:Author>
    <b:Volume>31</b:Volume>
    <b:URL>https://www.sciencedirect.com/science/article/abs/pii/0012821X76902168</b:URL>
    <b:RefOrder>41</b:RefOrder>
  </b:Source>
  <b:Source>
    <b:Tag>ANa97</b:Tag>
    <b:SourceType>JournalArticle</b:SourceType>
    <b:Guid>{43FBC4AD-870C-49E8-AEF1-12FBC4B34CB4}</b:Guid>
    <b:LCID>en-US</b:LCID>
    <b:Title>Progress and new directions in high temperature calorimetry revisited</b:Title>
    <b:JournalName>Phys. Chem. Miner.</b:JournalName>
    <b:Year>1997</b:Year>
    <b:Pages>222-241</b:Pages>
    <b:Author>
      <b:Author>
        <b:NameList>
          <b:Person>
            <b:Last>Navrotsky</b:Last>
            <b:First>A.</b:First>
          </b:Person>
        </b:NameList>
      </b:Author>
    </b:Author>
    <b:Volume>24 </b:Volume>
    <b:URL>https://link.springer.com/article/10.1007/s002690050035</b:URL>
    <b:RefOrder>6</b:RefOrder>
  </b:Source>
  <b:Source>
    <b:Tag>ANa77</b:Tag>
    <b:SourceType>JournalArticle</b:SourceType>
    <b:Guid>{DEAA77F8-E6CB-4897-9490-46C00813B918}</b:Guid>
    <b:LCID>en-US</b:LCID>
    <b:Title>Progress and new directions in high temperature calorimetry</b:Title>
    <b:Year>1977</b:Year>
    <b:Pages>89–104</b:Pages>
    <b:Volume>2</b:Volume>
    <b:Author>
      <b:Author>
        <b:NameList>
          <b:Person>
            <b:Last>Navrotsky</b:Last>
            <b:First>A.</b:First>
          </b:Person>
        </b:NameList>
      </b:Author>
    </b:Author>
    <b:URL>https://link.springer.com/article/10.1007/BF00307526</b:URL>
    <b:JournalName>Phys. Chem. Miner.</b:JournalName>
    <b:RefOrder>5</b:RefOrder>
  </b:Source>
  <b:Source>
    <b:Tag>Nav14</b:Tag>
    <b:SourceType>JournalArticle</b:SourceType>
    <b:Guid>{D04C3670-BBD8-4E77-8C23-AA627D004D72}</b:Guid>
    <b:Title>Progress and New Directions in Calorimetry: A 2014 Perspective</b:Title>
    <b:Year>2014</b:Year>
    <b:LCID>en-US</b:LCID>
    <b:Author>
      <b:Author>
        <b:NameList>
          <b:Person>
            <b:Last>Navrotsky</b:Last>
            <b:First>A.</b:First>
          </b:Person>
        </b:NameList>
      </b:Author>
    </b:Author>
    <b:JournalName>J. Am. Ceram. Soc.</b:JournalName>
    <b:Pages>3349–3359</b:Pages>
    <b:Volume>97</b:Volume>
    <b:URL>https://ceramics.onlinelibrary.wiley.com/doi/10.1111/jace.13278</b:URL>
    <b:RefOrder>7</b:RefOrder>
  </b:Source>
  <b:Source>
    <b:Tag>RMM08</b:Tag>
    <b:SourceType>JournalArticle</b:SourceType>
    <b:Guid>{64768FFB-4F13-42BD-81AA-A24C9E2CB374}</b:Guid>
    <b:LCID>en-US</b:LCID>
    <b:Title>Enthalpy of Formation of Carbon-Rich Polymer-Derived Amorphous SiCN Ceramics</b:Title>
    <b:JournalName>J. Am. Ceram. Soc.</b:JournalName>
    <b:Year>2008</b:Year>
    <b:Pages>3349-3354</b:Pages>
    <b:Author>
      <b:Author>
        <b:NameList>
          <b:Person>
            <b:Last>Morcos</b:Last>
            <b:First>R.</b:First>
            <b:Middle>M.</b:Middle>
          </b:Person>
          <b:Person>
            <b:Last>Mera</b:Last>
            <b:First>G.</b:First>
          </b:Person>
          <b:Person>
            <b:Last>Navrotsky</b:Last>
            <b:First>A.</b:First>
          </b:Person>
          <b:Person>
            <b:Last>Varga</b:Last>
            <b:First>T.</b:First>
          </b:Person>
          <b:Person>
            <b:Last>Riedel</b:Last>
            <b:First>R.</b:First>
          </b:Person>
          <b:Person>
            <b:Last>Poli</b:Last>
            <b:First>F.</b:First>
          </b:Person>
          <b:Person>
            <b:Last>Muller</b:Last>
            <b:First>K.</b:First>
          </b:Person>
        </b:NameList>
      </b:Author>
    </b:Author>
    <b:Volume>91</b:Volume>
    <b:URL>https://ceramics.onlinelibrary.wiley.com/doi/full/10.1111/j.1551-2916.2008.02626.x</b:URL>
    <b:RefOrder>42</b:RefOrder>
  </b:Source>
  <b:Source>
    <b:Tag>RMM07</b:Tag>
    <b:SourceType>JournalArticle</b:SourceType>
    <b:Guid>{A07DFA40-36E8-4146-8B20-909928E52A64}</b:Guid>
    <b:Title>Energetics of CdSxSe1-x Quantum Dots in Borosilicate Glasses</b:Title>
    <b:JournalName>J. Non-Cryst. Solids</b:JournalName>
    <b:Year>2007</b:Year>
    <b:Pages>2785–2795</b:Pages>
    <b:LCID>en-US</b:LCID>
    <b:Author>
      <b:Author>
        <b:NameList>
          <b:Person>
            <b:Last>Morcos</b:Last>
            <b:First>R.</b:First>
            <b:Middle>M.</b:Middle>
          </b:Person>
          <b:Person>
            <b:Last>Mitterbauer</b:Last>
            <b:First>C.</b:First>
          </b:Person>
          <b:Person>
            <b:Last>Browning</b:Last>
            <b:First>N.</b:First>
          </b:Person>
          <b:Person>
            <b:Last>Risbud</b:Last>
            <b:First>S.</b:First>
          </b:Person>
          <b:Person>
            <b:Last>Navrotsky</b:Last>
            <b:First>A.</b:First>
          </b:Person>
        </b:NameList>
      </b:Author>
    </b:Author>
    <b:Volume>353</b:Volume>
    <b:URL>https://www.sciencedirect.com/science/article/pii/S002230930700453X</b:URL>
    <b:RefOrder>43</b:RefOrder>
  </b:Source>
  <b:Source>
    <b:Tag>KMo11</b:Tag>
    <b:SourceType>JournalArticle</b:SourceType>
    <b:Guid>{5A259F5B-1579-4F40-8382-7E5BE083D43D}</b:Guid>
    <b:LCID>en-US</b:LCID>
    <b:Title>VESTA 3 for three-dimensional visualization of crystal, volumetric and morphology data</b:Title>
    <b:JournalName>J. Appl. Crystallogr.</b:JournalName>
    <b:Year>2011</b:Year>
    <b:Pages>1272–1276</b:Pages>
    <b:Author>
      <b:Author>
        <b:NameList>
          <b:Person>
            <b:Last>Momma</b:Last>
            <b:First>K.</b:First>
          </b:Person>
          <b:Person>
            <b:Last>Izumi</b:Last>
            <b:First>F.</b:First>
          </b:Person>
        </b:NameList>
      </b:Author>
    </b:Author>
    <b:Volume>44</b:Volume>
    <b:URL>https://doi.org/10.1107/S0021889811038970</b:URL>
    <b:RefOrder>4</b:RefOrder>
  </b:Source>
  <b:Source>
    <b:Tag>AMi15</b:Tag>
    <b:SourceType>JournalArticle</b:SourceType>
    <b:Guid>{D81B9CA9-0EF8-429F-A11F-1FCFBB1E2BB4}</b:Guid>
    <b:LCID>en-US</b:LCID>
    <b:Title>Influence of antimony substitution on spontaneous strain and thermodynamic stability of lanthanum orthoniobate</b:Title>
    <b:JournalName>Ceram. Int.</b:JournalName>
    <b:Year>2015</b:Year>
    <b:Pages>2128-2133</b:Pages>
    <b:Author>
      <b:Author>
        <b:NameList>
          <b:Person>
            <b:Last>Mielewczyk-Gryn</b:Last>
            <b:First>A.</b:First>
          </b:Person>
          <b:Person>
            <b:Last>Wachowski</b:Last>
            <b:First>S.</b:First>
          </b:Person>
          <b:Person>
            <b:Last>Lilova</b:Last>
            <b:First>K.</b:First>
            <b:Middle>I.</b:Middle>
          </b:Person>
          <b:Person>
            <b:Last>Guo</b:Last>
            <b:First>X.</b:First>
          </b:Person>
          <b:Person>
            <b:Last>Gazda</b:Last>
            <b:First>M.</b:First>
          </b:Person>
          <b:Person>
            <b:Last>Navrotsky</b:Last>
            <b:First>A.</b:First>
          </b:Person>
        </b:NameList>
      </b:Author>
    </b:Author>
    <b:Volume>41</b:Volume>
    <b:URL>https://www.sciencedirect.com/science/article/pii/S0272884214015351</b:URL>
    <b:RefOrder>44</b:RefOrder>
  </b:Source>
  <b:Source>
    <b:Tag>SVM93</b:Tag>
    <b:SourceType>JournalArticle</b:SourceType>
    <b:Guid>{929A3C0A-A5CB-43D9-8EE3-37995FD743AC}</b:Guid>
    <b:LCID>en-US</b:LCID>
    <b:Title>Standard enthalpies of formation of 4d aluminides by direct synthesis calorimetry</b:Title>
    <b:JournalName>J. Alloys Compd</b:JournalName>
    <b:Year>1993</b:Year>
    <b:Pages>111-116</b:Pages>
    <b:Author>
      <b:Author>
        <b:NameList>
          <b:Person>
            <b:Last>Meschel</b:Last>
            <b:First>S.</b:First>
            <b:Middle>V.</b:Middle>
          </b:Person>
          <b:Person>
            <b:Last>Kleppa</b:Last>
            <b:First>O.</b:First>
            <b:Middle>J.</b:Middle>
          </b:Person>
        </b:NameList>
      </b:Author>
    </b:Author>
    <b:Volume>191</b:Volume>
    <b:URL>https://www.sciencedirect.com/science/article/pii/092583889390280Z</b:URL>
    <b:RefOrder>45</b:RefOrder>
  </b:Source>
  <b:Source>
    <b:Tag>Mer13</b:Tag>
    <b:SourceType>JournalArticle</b:SourceType>
    <b:Guid>{A59B52CA-03E9-4AE0-A369-09F39AE6BE66}</b:Guid>
    <b:Title>Polymer-derived SiCN and SiOC ceramics – structure and energetics at the nanoscale</b:Title>
    <b:Year>2013</b:Year>
    <b:LCID>en-US</b:LCID>
    <b:Author>
      <b:Author>
        <b:NameList>
          <b:Person>
            <b:Last>Mera</b:Last>
            <b:First>G.</b:First>
          </b:Person>
          <b:Person>
            <b:Last>Navrotsky</b:Last>
            <b:First>A.</b:First>
          </b:Person>
          <b:Person>
            <b:Last>Sen</b:Last>
            <b:First>S.</b:First>
          </b:Person>
          <b:Person>
            <b:Last>Kleebed</b:Last>
            <b:First>H.-J.</b:First>
          </b:Person>
          <b:Person>
            <b:Last>Riedela</b:Last>
            <b:First>R.</b:First>
          </b:Person>
        </b:NameList>
      </b:Author>
    </b:Author>
    <b:JournalName>J. Mater. Chem. A</b:JournalName>
    <b:Pages>3826-3836</b:Pages>
    <b:Volume>1</b:Volume>
    <b:URL>https://pubs.rsc.org/en/content/articlehtml/2013/ta/c2ta00727d</b:URL>
    <b:RefOrder>46</b:RefOrder>
  </b:Source>
  <b:Source>
    <b:Tag>JMM97</b:Tag>
    <b:SourceType>JournalArticle</b:SourceType>
    <b:Guid>{83BBBA8A-ED9D-4DE1-81AC-7A4D0D2C7763}</b:Guid>
    <b:Title>Energetics of Ternary Nitrides: Li-Ca-Zn-N and Ca-Ta-N Systems</b:Title>
    <b:JournalName>Chem. Mater</b:JournalName>
    <b:Year>1997</b:Year>
    <b:Pages>1538–1546</b:Pages>
    <b:LCID>en-US</b:LCID>
    <b:Author>
      <b:Author>
        <b:NameList>
          <b:Person>
            <b:Last>McHale</b:Last>
            <b:First>J.</b:First>
            <b:Middle>M.</b:Middle>
          </b:Person>
          <b:Person>
            <b:Last>Navrotsky</b:Last>
            <b:First>A.</b:First>
          </b:Person>
          <b:Person>
            <b:Last>Kowach</b:Last>
            <b:First>Glen</b:First>
            <b:Middle>R.</b:Middle>
          </b:Person>
          <b:Person>
            <b:Last>Balbarin</b:Last>
            <b:First>Vincent</b:First>
            <b:Middle>E.</b:Middle>
          </b:Person>
          <b:Person>
            <b:Last>DiSalvo</b:Last>
            <b:First>F.</b:First>
            <b:Middle>J.</b:Middle>
          </b:Person>
        </b:NameList>
      </b:Author>
    </b:Author>
    <b:Volume>9</b:Volume>
    <b:URL>https://pubs.acs.org/doi/abs/10.1021/cm970244r</b:URL>
    <b:RefOrder>47</b:RefOrder>
  </b:Source>
  <b:Source>
    <b:Tag>Mar98</b:Tag>
    <b:SourceType>JournalArticle</b:SourceType>
    <b:Guid>{B72AAC3E-ED0F-433F-B282-5A78D8493956}</b:Guid>
    <b:Title>Relationship between Activation Energy and Bottleneck Size for Li+ Ion Conduction in NASICON Materials of Composition LiMM‘(PO4)3; M, M‘ = Ge, Ti, Sn, Hf</b:Title>
    <b:JournalName>J. Phys. Chem. B</b:JournalName>
    <b:Year>1998</b:Year>
    <b:Pages>372-375</b:Pages>
    <b:Volume>102</b:Volume>
    <b:URL>https://doi.org/10.1021/jp973296c</b:URL>
    <b:LCID>en-US</b:LCID>
    <b:Author>
      <b:Author>
        <b:NameList>
          <b:Person>
            <b:Last>Martínez-Juárez</b:Last>
            <b:First>A.</b:First>
          </b:Person>
          <b:Person>
            <b:Last>Pecharromán</b:Last>
            <b:First>C.</b:First>
          </b:Person>
          <b:Person>
            <b:Last>Iglesias</b:Last>
            <b:First>J.</b:First>
            <b:Middle>E.</b:Middle>
          </b:Person>
          <b:Person>
            <b:Last>Rojo</b:Last>
            <b:First>J.</b:First>
            <b:Middle>M.</b:Middle>
          </b:Person>
        </b:NameList>
      </b:Author>
    </b:Author>
    <b:RefOrder>48</b:RefOrder>
  </b:Source>
  <b:Source>
    <b:Tag>edW99</b:Tag>
    <b:SourceType>Book</b:SourceType>
    <b:Guid>{E7F477AB-6E9C-4F5D-8B50-F2813C99A581}</b:Guid>
    <b:LCID>en-US</b:LCID>
    <b:Title>Thermodynamic properties of inorganic materials compiled by SGTE. In Numerical Data and Functional Relationships in Science and Technology</b:Title>
    <b:Year>1999</b:Year>
    <b:Publisher>Springer-Verlag, Berlin</b:Publisher>
    <b:Author>
      <b:Author>
        <b:NameList>
          <b:Person>
            <b:Last>Martienssen</b:Last>
            <b:First>ed.</b:First>
            <b:Middle>W.</b:Middle>
          </b:Person>
        </b:NameList>
      </b:Author>
    </b:Author>
    <b:Volume>IV/19A1</b:Volume>
    <b:RefOrder>49</b:RefOrder>
  </b:Source>
  <b:Source>
    <b:Tag>JMa02</b:Tag>
    <b:SourceType>JournalArticle</b:SourceType>
    <b:Guid>{82944526-499C-4181-99A2-5FC0EDCBB54C}</b:Guid>
    <b:LCID>en-US</b:LCID>
    <b:Title>Energetics of anhydrite, barite, celestine, and anglesite: a high-temperature and differential scanning calorimetry study</b:Title>
    <b:Year>2002</b:Year>
    <b:Author>
      <b:Author>
        <b:NameList>
          <b:Person>
            <b:Last>Majzlan</b:Last>
            <b:First>J.</b:First>
          </b:Person>
          <b:Person>
            <b:Last>Navrotsky</b:Last>
            <b:First>A.</b:First>
          </b:Person>
          <b:Person>
            <b:Last>Neil</b:Last>
            <b:First>J.</b:First>
            <b:Middle>M.</b:Middle>
          </b:Person>
        </b:NameList>
      </b:Author>
    </b:Author>
    <b:Volume>66</b:Volume>
    <b:Pages>1839-1850</b:Pages>
    <b:URL>https://www.sciencedirect.com/science/article/abs/pii/S001670370100881X</b:URL>
    <b:JournalName>Geochim. Cosmochim. Acta</b:JournalName>
    <b:RefOrder>50</b:RefOrder>
  </b:Source>
  <b:Source>
    <b:Tag>MaQ15</b:Tag>
    <b:SourceType>JournalArticle</b:SourceType>
    <b:Guid>{6C9B8929-473F-446B-9B32-8EEF2BB75EC4}</b:Guid>
    <b:Title>A Novel Sol–Gel Method for Large‐Scale Production of Nanopowders: Preparation of Li1.5Al0.5Ti1.5(PO4)3 as an Example</b:Title>
    <b:JournalName>J. Am. Ceram. Soc</b:JournalName>
    <b:Year>2016</b:Year>
    <b:Pages>410-414</b:Pages>
    <b:LCID>en-US</b:LCID>
    <b:Author>
      <b:Author>
        <b:NameList>
          <b:Person>
            <b:Last>Ma</b:Last>
            <b:First>Q.</b:First>
          </b:Person>
          <b:Person>
            <b:Last>Xu</b:Last>
            <b:First>Q.</b:First>
          </b:Person>
          <b:Person>
            <b:Last>Tsai</b:Last>
            <b:First>C.‐L.</b:First>
          </b:Person>
          <b:Person>
            <b:Last>Tietz</b:Last>
            <b:First>F.</b:First>
          </b:Person>
          <b:Person>
            <b:Last>Guillon</b:Last>
            <b:First>O.</b:First>
          </b:Person>
        </b:NameList>
      </b:Author>
    </b:Author>
    <b:Volume>99</b:Volume>
    <b:URL>https://doi.org/10.1111/jace.13997</b:URL>
    <b:RefOrder>2</b:RefOrder>
  </b:Source>
  <b:Source>
    <b:Tag>JLi06</b:Tag>
    <b:SourceType>JournalArticle</b:SourceType>
    <b:Guid>{7AC51BC7-B2E4-4A7A-B8FA-E47945B83D26}</b:Guid>
    <b:Title>Effect of Structure and Thermodynamic Stability on the Response of Lanthanide Stannate Pyrochlores to Ion Beam Irradiation</b:Title>
    <b:JournalName>J. Phys. Chem. B</b:JournalName>
    <b:Year>2006</b:Year>
    <b:Pages>2343-2350</b:Pages>
    <b:LCID>en-US</b:LCID>
    <b:Author>
      <b:Author>
        <b:NameList>
          <b:Person>
            <b:Last>Lian</b:Last>
            <b:First>J.</b:First>
          </b:Person>
          <b:Person>
            <b:Last>Helean</b:Last>
            <b:First>K.</b:First>
            <b:Middle>B.</b:Middle>
          </b:Person>
          <b:Person>
            <b:Last>Kennedy</b:Last>
            <b:First>B.</b:First>
            <b:Middle>J.</b:Middle>
          </b:Person>
          <b:Person>
            <b:Last>Wang</b:Last>
            <b:First>L.</b:First>
            <b:Middle>M.</b:Middle>
          </b:Person>
          <b:Person>
            <b:Last>Navrotsky</b:Last>
            <b:First>A.</b:First>
          </b:Person>
          <b:Person>
            <b:Last>Ewing</b:Last>
            <b:First>R.</b:First>
            <b:Middle>C.</b:Middle>
          </b:Person>
        </b:NameList>
      </b:Author>
    </b:Author>
    <b:Volume>110</b:Volume>
    <b:URL>https://pubs.acs.org/doi/10.1021/jp055266c#</b:URL>
    <b:RefOrder>51</b:RefOrder>
  </b:Source>
  <b:Source>
    <b:Tag>Lan15</b:Tag>
    <b:SourceType>JournalArticle</b:SourceType>
    <b:Guid>{08927072-8815-4FEE-89C8-8CB5FD09EF14}</b:Guid>
    <b:Title>Lithium Ion Conduction in LiTi2(PO4)3 and Related Compounds Based on the NASICON Structure: A First-Principles Study</b:Title>
    <b:JournalName>Chem. Mater.</b:JournalName>
    <b:Year>2015</b:Year>
    <b:Pages>5040–5048</b:Pages>
    <b:LCID>en-US</b:LCID>
    <b:Author>
      <b:Author>
        <b:NameList>
          <b:Person>
            <b:Last>Lang</b:Last>
            <b:First>B.</b:First>
          </b:Person>
          <b:Person>
            <b:Last>Ziebarth</b:Last>
            <b:First>B.</b:First>
          </b:Person>
          <b:Person>
            <b:Last>Elsässer</b:Last>
            <b:First>C.</b:First>
          </b:Person>
        </b:NameList>
      </b:Author>
    </b:Author>
    <b:Volume>27</b:Volume>
    <b:URL>https://doi.org/10.1021/acs.chemmater.5b01582</b:URL>
    <b:RefOrder>52</b:RefOrder>
  </b:Source>
  <b:Source>
    <b:Tag>LPT12</b:Tag>
    <b:SourceType>JournalArticle</b:SourceType>
    <b:Guid>{CB4E06DD-9171-4E1A-ABB8-9D0B9BAC417C}</b:Guid>
    <b:Author>
      <b:Author>
        <b:NameList>
          <b:Person>
            <b:Last>L. P. Teo</b:Last>
            <b:First>M.</b:First>
            <b:Middle>H. Buraidah, A. F. M. Nor, S. R. Majid</b:Middle>
          </b:Person>
        </b:NameList>
      </b:Author>
    </b:Author>
    <b:Title>Conductivity and dielectric studies of Li2SnO3</b:Title>
    <b:JournalName>Ionics</b:JournalName>
    <b:Year>2012</b:Year>
    <b:Pages>655–665</b:Pages>
    <b:LCID>en-US</b:LCID>
    <b:Volume>18</b:Volume>
    <b:RefOrder>53</b:RefOrder>
  </b:Source>
  <b:Source>
    <b:Tag>KKi18</b:Tag>
    <b:SourceType>JournalArticle</b:SourceType>
    <b:Guid>{8118E26C-8BD0-400F-8043-54FAF832355C}</b:Guid>
    <b:LCID>en-US</b:LCID>
    <b:Author>
      <b:Author>
        <b:NameList>
          <b:Person>
            <b:Last>K. Kitagawa</b:Last>
            <b:First>T.</b:First>
            <b:Middle>Takayama, Y. Matsumoto, A. Kato, R. Takano, Y. Kishimoto, S. Bette, R. Dinnebier, G. Jackeli, H. Takagi</b:Middle>
          </b:Person>
        </b:NameList>
      </b:Author>
    </b:Author>
    <b:Title>A spin-orbital-entangled quantum liquid on a honeycomb lattice</b:Title>
    <b:JournalName>Nature</b:JournalName>
    <b:Year>2018</b:Year>
    <b:Pages>341–345</b:Pages>
    <b:Volume>554</b:Volume>
    <b:RefOrder>54</b:RefOrder>
  </b:Source>
  <b:Source>
    <b:Tag>KIw16</b:Tag>
    <b:SourceType>JournalArticle</b:SourceType>
    <b:Guid>{58D3E696-9D78-4A39-AA6D-37BB378DCA56}</b:Guid>
    <b:LCID>en-US</b:LCID>
    <b:Author>
      <b:Author>
        <b:NameList>
          <b:Person>
            <b:Last>K. Iwashina</b:Last>
            <b:First>A.</b:First>
            <b:Middle>Iwase, S. Nozawa, S. Adachi, A. Kudo</b:Middle>
          </b:Person>
        </b:NameList>
      </b:Author>
    </b:Author>
    <b:Title>Visible-Light-Responsive CuLi1/3Ti2/3O2 Powders Prepared by a Molten CuCl Treatment of Li2TiO3 for Photocatalytic H2 Evolution and Z‑Schematic Water Splitting</b:Title>
    <b:JournalName>Chem. Mater.</b:JournalName>
    <b:Year>2016</b:Year>
    <b:Pages>4677−4685</b:Pages>
    <b:Volume>28</b:Volume>
    <b:RefOrder>55</b:RefOrder>
  </b:Source>
  <b:Source>
    <b:Tag>Joh75</b:Tag>
    <b:SourceType>JournalArticle</b:SourceType>
    <b:Guid>{F975DEE2-B07D-45E6-BCB2-E77477D1D6A5}</b:Guid>
    <b:Title>The enthalpy of formation of lithium oxide (Li2O)</b:Title>
    <b:JournalName>J. Chem. Thermodyn.</b:JournalName>
    <b:Year>1975</b:Year>
    <b:Pages>781-786</b:Pages>
    <b:LCID>en-US</b:LCID>
    <b:Author>
      <b:Author>
        <b:NameList>
          <b:Person>
            <b:Last>Johnson</b:Last>
            <b:First>G.</b:First>
            <b:Middle>K.</b:Middle>
          </b:Person>
          <b:Person>
            <b:Last>Grow</b:Last>
            <b:First>R.</b:First>
            <b:Middle>T.</b:Middle>
          </b:Person>
          <b:Person>
            <b:Last>Hubbard</b:Last>
            <b:First>W.</b:First>
            <b:Middle>N.</b:Middle>
          </b:Person>
        </b:NameList>
      </b:Author>
    </b:Author>
    <b:Volume>7</b:Volume>
    <b:DOI>https://doi.org/10.1016/0021-9614(75)90254-2</b:DOI>
    <b:RefOrder>10</b:RefOrder>
  </b:Source>
  <b:Source>
    <b:Tag>HeX17</b:Tag>
    <b:SourceType>JournalArticle</b:SourceType>
    <b:Guid>{D63CE755-7DF7-4F10-AF09-952BEFC7B604}</b:Guid>
    <b:Title>Origin of fast ion diffusion in super-ionic conductors</b:Title>
    <b:JournalName>Nat. Commun.</b:JournalName>
    <b:Year>2017</b:Year>
    <b:Pages>15893</b:Pages>
    <b:LCID>en-US</b:LCID>
    <b:Author>
      <b:Author>
        <b:NameList>
          <b:Person>
            <b:Last>He</b:Last>
            <b:First>X.</b:First>
          </b:Person>
          <b:Person>
            <b:Last>Zhu</b:Last>
            <b:First>Y.</b:First>
          </b:Person>
          <b:Person>
            <b:Last>Mo</b:Last>
            <b:First>Y.</b:First>
          </b:Person>
        </b:NameList>
      </b:Author>
    </b:Author>
    <b:Volume>8</b:Volume>
    <b:URL>https://www.nature.com/articles/ncomms15893</b:URL>
    <b:RefOrder>56</b:RefOrder>
  </b:Source>
  <b:Source>
    <b:Tag>XGu18</b:Tag>
    <b:SourceType>JournalArticle</b:SourceType>
    <b:Guid>{DB78AFAE-4140-4774-971E-DDC9A1AAD887}</b:Guid>
    <b:Title>Enthalpy of formation of U3Si2: A high-temperature drop calorimetry study</b:Title>
    <b:JournalName>J. Nucl. Mater.</b:JournalName>
    <b:Year>2018</b:Year>
    <b:Pages>44-49</b:Pages>
    <b:LCID>en-US</b:LCID>
    <b:Author>
      <b:Author>
        <b:NameList>
          <b:Person>
            <b:Last>Guo</b:Last>
            <b:First>X.</b:First>
          </b:Person>
          <b:Person>
            <b:Last>T.White</b:Last>
            <b:First>J.</b:First>
          </b:Person>
          <b:Person>
            <b:Last>T.Nelson</b:Last>
            <b:First>A.</b:First>
          </b:Person>
          <b:Person>
            <b:Last>Migdisov</b:Last>
            <b:First>A.</b:First>
          </b:Person>
          <b:Person>
            <b:Last>Roback</b:Last>
            <b:First>R.</b:First>
          </b:Person>
          <b:Person>
            <b:Last>Xu</b:Last>
            <b:First>H.</b:First>
          </b:Person>
        </b:NameList>
      </b:Author>
    </b:Author>
    <b:Volume>507</b:Volume>
    <b:URL>https://www.sciencedirect.com/science/article/pii/S0022311518303763</b:URL>
    <b:RefOrder>57</b:RefOrder>
  </b:Source>
  <b:Source>
    <b:Tag>XGu17</b:Tag>
    <b:SourceType>JournalArticle</b:SourceType>
    <b:Guid>{AA1181DD-49EC-43B7-9F9F-6289FB3DB421}</b:Guid>
    <b:Title>A correlation between formation enthalpy and ionic conductivity in perovskite-structured Li3xLa0.67-xTiO3 solid lithium ion conductors</b:Title>
    <b:JournalName>J. Mater. Chem. A</b:JournalName>
    <b:Year>2017</b:Year>
    <b:Pages>12951–12957</b:Pages>
    <b:LCID>en-US</b:LCID>
    <b:Author>
      <b:Author>
        <b:NameList>
          <b:Person>
            <b:Last>Guo</b:Last>
            <b:First>X.</b:First>
          </b:Person>
          <b:Person>
            <b:Last>Saradhi Maram</b:Last>
            <b:First>P.</b:First>
          </b:Person>
          <b:Person>
            <b:Last>Navrotsky</b:Last>
            <b:First>A.</b:First>
          </b:Person>
        </b:NameList>
      </b:Author>
    </b:Author>
    <b:Volume>5</b:Volume>
    <b:URL>https://pubs.rsc.org/en/content/articlelanding/2017/ta/c7ta02434g#!divAbstract</b:URL>
    <b:RefOrder>58</b:RefOrder>
  </b:Source>
  <b:Source>
    <b:Tag>Gui05</b:Tag>
    <b:SourceType>JournalArticle</b:SourceType>
    <b:Guid>{F2658BF3-B73D-4C94-B033-BB3E80ABCA76}</b:Guid>
    <b:Author>
      <b:Author>
        <b:NameList>
          <b:Person>
            <b:Last>Guillemet-Fritscha</b:Last>
            <b:First>S.</b:First>
          </b:Person>
          <b:Person>
            <b:Last>Navrotsky</b:Last>
            <b:First>A.</b:First>
          </b:Person>
          <b:Person>
            <b:Last>Tailhadesa</b:Last>
            <b:First>P.</b:First>
          </b:Person>
          <b:Person>
            <b:Last>Coradin</b:Last>
            <b:First>H.</b:First>
          </b:Person>
          <b:Person>
            <b:Last>Wang</b:Last>
            <b:First>M.</b:First>
          </b:Person>
        </b:NameList>
      </b:Author>
    </b:Author>
    <b:Title>Thermochemistry of iron manganese oxide spinels</b:Title>
    <b:JournalName>J. Solid State Chem</b:JournalName>
    <b:Year>2005</b:Year>
    <b:Pages>106-113</b:Pages>
    <b:Volume>178</b:Volume>
    <b:LCID>en-US</b:LCID>
    <b:URL>https://www.sciencedirect.com/science/article/pii/S0022459604005699</b:URL>
    <b:RefOrder>59</b:RefOrder>
  </b:Source>
  <b:Source>
    <b:Tag>PGr66</b:Tag>
    <b:SourceType>JournalArticle</b:SourceType>
    <b:Guid>{7E4B7CEA-8DE8-49BE-B24D-B9EDB7098B8B}</b:Guid>
    <b:LCID>en-US</b:LCID>
    <b:Title>Heats of formation of germanium tetrafluoride and of the germanium dioxides</b:Title>
    <b:JournalName>Trans. Faraday Soc.</b:JournalName>
    <b:Year>1966</b:Year>
    <b:Pages>2388-2394</b:Pages>
    <b:Author>
      <b:Author>
        <b:NameList>
          <b:Person>
            <b:Last>Gross</b:Last>
            <b:First>P.</b:First>
          </b:Person>
          <b:Person>
            <b:Last>Hayman</b:Last>
            <b:First>C.</b:First>
          </b:Person>
          <b:Person>
            <b:Last>Bingham</b:Last>
            <b:First>J.</b:First>
            <b:Middle>T.</b:Middle>
          </b:Person>
        </b:NameList>
      </b:Author>
    </b:Author>
    <b:Volume>62</b:Volume>
    <b:URL>https://pubs.rsc.org/en/content/articlelanding/1966/tf/tf9666202388/unauth#!divAbstract</b:URL>
    <b:RefOrder>60</b:RefOrder>
  </b:Source>
  <b:Source>
    <b:Tag>Goo76</b:Tag>
    <b:SourceType>JournalArticle</b:SourceType>
    <b:Guid>{E5A3E3BD-225E-4AFA-8568-1DC2DA120A7D}</b:Guid>
    <b:Title>Fast Na+ ion transport in skeleton structures</b:Title>
    <b:JournalName>Mater. Res. Bull.</b:JournalName>
    <b:Year>1976</b:Year>
    <b:Pages>203-220</b:Pages>
    <b:LCID>en-US</b:LCID>
    <b:Author>
      <b:Author>
        <b:NameList>
          <b:Person>
            <b:Last>Goodenough</b:Last>
            <b:First>J.</b:First>
            <b:Middle>B.</b:Middle>
          </b:Person>
          <b:Person>
            <b:Last>Hong</b:Last>
            <b:First>H.</b:First>
            <b:Middle>Y-P.</b:Middle>
          </b:Person>
          <b:Person>
            <b:Last>Kafalas</b:Last>
            <b:First>J.A.</b:First>
          </b:Person>
        </b:NameList>
      </b:Author>
    </b:Author>
    <b:Volume>11</b:Volume>
    <b:URL>https://doi.org/10.1016/0025-5408(76)90077-5</b:URL>
    <b:RefOrder>61</b:RefOrder>
  </b:Source>
  <b:Source>
    <b:Tag>VPG72</b:Tag>
    <b:SourceType>Book</b:SourceType>
    <b:Guid>{52B41BAB-B1B6-41A8-972E-927412F0F4C0}</b:Guid>
    <b:LCID>en-US</b:LCID>
    <b:Title>Thermicheskie konstanti veshtestv</b:Title>
    <b:Year>1972</b:Year>
    <b:Publisher>Academy of Science. U.S.S.R.</b:Publisher>
    <b:Author>
      <b:Author>
        <b:NameList>
          <b:Person>
            <b:Last>Glushko</b:Last>
            <b:First>V.P.</b:First>
          </b:Person>
          <b:Person>
            <b:Last>Medvedev</b:Last>
            <b:First>V.A.</b:First>
          </b:Person>
          <b:Person>
            <b:Last>Bergman</b:Last>
            <b:First>G</b:First>
            <b:Middle>.A.</b:Middle>
          </b:Person>
          <b:Person>
            <b:Last>Vasilev</b:Last>
            <b:First>B.</b:First>
            <b:Middle>P.</b:Middle>
          </b:Person>
          <b:Person>
            <b:Last>Gurvich</b:Last>
            <b:First>L.</b:First>
            <b:Middle>V.</b:Middle>
          </b:Person>
          <b:Person>
            <b:Last>Alekseev</b:Last>
            <b:First>V.</b:First>
            <b:Middle>I.</b:Middle>
          </b:Person>
          <b:Person>
            <b:Last>Kolesov</b:Last>
            <b:First>V.</b:First>
            <b:Middle>P.</b:Middle>
          </b:Person>
          <b:Person>
            <b:Last>Yungman</b:Last>
            <b:First>V.</b:First>
            <b:Middle>S.</b:Middle>
          </b:Person>
          <b:Person>
            <b:Last>Ioffe</b:Last>
            <b:First>N.T.</b:First>
          </b:Person>
          <b:Person>
            <b:Last>Vorabev</b:Last>
            <b:First>A.</b:First>
            <b:Middle>F.</b:Middle>
          </b:Person>
          <b:Person>
            <b:Last>Reznitskii</b:Last>
            <b:First>L.</b:First>
            <b:Middle>A.</b:Middle>
          </b:Person>
          <b:Person>
            <b:Last>Khodakovskii</b:Last>
            <b:First>I.</b:First>
            <b:Middle>L.</b:Middle>
          </b:Person>
          <b:Person>
            <b:Last>Smirnova</b:Last>
            <b:First>N.</b:First>
            <b:Middle>L.</b:Middle>
          </b:Person>
          <b:Person>
            <b:Last>Galchenko</b:Last>
            <b:First>G.L.</b:First>
          </b:Person>
          <b:Person>
            <b:Last>Baibuz</b:Last>
            <b:First>V.</b:First>
            <b:Middle>F.</b:Middle>
          </b:Person>
        </b:NameList>
      </b:Author>
    </b:Author>
    <b:RefOrder>62</b:RefOrder>
  </b:Source>
  <b:Source>
    <b:Tag>EHP92</b:Tag>
    <b:SourceType>JournalArticle</b:SourceType>
    <b:Guid>{FCF70454-106E-40D9-89BB-E037A23DF660}</b:Guid>
    <b:Title>The heat capacity and derived thermophysical properties of In2O3 from 0 to 1000 K</b:Title>
    <b:JournalName>J. Phys. Chem. Solids</b:JournalName>
    <b:Year>1992</b:Year>
    <b:Pages>361-365</b:Pages>
    <b:LCID>en-US</b:LCID>
    <b:Author>
      <b:Author>
        <b:NameList>
          <b:Person>
            <b:Last>E. H. P. Cordfunke</b:Last>
            <b:First>E.</b:First>
            <b:Middle>F. Westrum Jr.</b:Middle>
          </b:Person>
        </b:NameList>
      </b:Author>
    </b:Author>
    <b:Volume>53</b:Volume>
    <b:URL>https://www.sciencedirect.com/science/article/abs/pii/002236979290169E</b:URL>
    <b:RefOrder>63</b:RefOrder>
  </b:Source>
  <b:Source>
    <b:Tag>The18</b:Tag>
    <b:SourceType>JournalArticle</b:SourceType>
    <b:Guid>{11574BFC-A9E3-43BD-9EB1-360C2D527D57}</b:Guid>
    <b:Title>The influence of water on the electrical conductivity of aluminum-substituted lithium titanium phosphates</b:Title>
    <b:JournalName>Solid State Ion.</b:JournalName>
    <b:Year>2018</b:Year>
    <b:Pages>83-90</b:Pages>
    <b:LCID>en-US</b:LCID>
    <b:Volume>321</b:Volume>
    <b:URL>https://doi.org/10.1016/j.ssi.2018.04.010</b:URL>
    <b:Author>
      <b:Author>
        <b:NameList>
          <b:Person>
            <b:Last>Dashjav</b:Last>
            <b:First>E.</b:First>
          </b:Person>
          <b:Person>
            <b:Last>Ma</b:Last>
            <b:First>Q.</b:First>
          </b:Person>
          <b:Person>
            <b:Last>Xu</b:Last>
            <b:First>Q.</b:First>
          </b:Person>
          <b:Person>
            <b:Last>Tsai</b:Last>
            <b:First>C.-L.</b:First>
          </b:Person>
          <b:Person>
            <b:Last>Giarola</b:Last>
            <b:First>M.</b:First>
          </b:Person>
          <b:Person>
            <b:Last>Mariotto</b:Last>
            <b:First>G.</b:First>
          </b:Person>
          <b:Person>
            <b:Last>Tietz</b:Last>
            <b:First>F.</b:First>
          </b:Person>
        </b:NameList>
      </b:Author>
    </b:Author>
    <b:RefOrder>1</b:RefOrder>
  </b:Source>
  <b:Source>
    <b:Tag>DMC15</b:Tag>
    <b:SourceType>JournalArticle</b:SourceType>
    <b:Guid>{4F88AE02-06E6-47D3-8201-23AABA420CC6}</b:Guid>
    <b:Title>Enthalpy of formation of Li1+xMn2−xO4 (0 &lt; x &lt; 0.1) spinel phases</b:Title>
    <b:JournalName>Thermochim. Acta</b:JournalName>
    <b:Year>2015</b:Year>
    <b:Pages>35-41</b:Pages>
    <b:LCID>en-US</b:LCID>
    <b:Author>
      <b:Author>
        <b:NameList>
          <b:Person>
            <b:Last>Cupid</b:Last>
            <b:First>D.</b:First>
            <b:Middle>M.</b:Middle>
          </b:Person>
          <b:Person>
            <b:Last>Reif</b:Last>
            <b:First>A.</b:First>
          </b:Person>
          <b:Person>
            <b:Last>Seifert</b:Last>
            <b:First>H.</b:First>
            <b:Middle>J.</b:Middle>
          </b:Person>
        </b:NameList>
      </b:Author>
    </b:Author>
    <b:Volume>599</b:Volume>
    <b:URL>https://www.sciencedirect.com/science/article/abs/pii/S0040603114004936?via%3Dihub</b:URL>
    <b:RefOrder>64</b:RefOrder>
  </b:Source>
  <b:Source>
    <b:Tag>DMC16</b:Tag>
    <b:SourceType>JournalArticle</b:SourceType>
    <b:Guid>{3585F9E6-8764-4AB4-850B-A92C4E27DEEE}</b:Guid>
    <b:Title>Enthalpy  of  formation  and  heat  capacity  of  Li2MnO3</b:Title>
    <b:JournalName>J. Ceram. Soc. JPN.</b:JournalName>
    <b:Year>2016</b:Year>
    <b:Pages>1072-1082</b:Pages>
    <b:LCID>en-US</b:LCID>
    <b:Author>
      <b:Author>
        <b:NameList>
          <b:Person>
            <b:Last>Cupid</b:Last>
            <b:First>D.</b:First>
            <b:Middle>M.</b:Middle>
          </b:Person>
          <b:Person>
            <b:Last>Li</b:Last>
            <b:First>D.</b:First>
          </b:Person>
          <b:Person>
            <b:Last>Gebert</b:Last>
            <b:First>C.</b:First>
          </b:Person>
          <b:Person>
            <b:Last>Reif</b:Last>
            <b:First>A.</b:First>
          </b:Person>
          <b:Person>
            <b:Last>Flandoreer</b:Last>
            <b:First>H.</b:First>
          </b:Person>
          <b:Person>
            <b:Last>Seifert</b:Last>
            <b:First>H.</b:First>
            <b:Middle>J.</b:Middle>
          </b:Person>
        </b:NameList>
      </b:Author>
    </b:Author>
    <b:Volume>124</b:Volume>
    <b:URL>https://www.jstage.jst.go.jp/article/jcersj2/124/10/124_16116/_article/-char/en</b:URL>
    <b:RefOrder>65</b:RefOrder>
  </b:Source>
  <b:Source>
    <b:Tag>EHP91</b:Tag>
    <b:SourceType>JournalArticle</b:SourceType>
    <b:Guid>{58CCB3BC-263F-4B91-B2E9-1F47A4507A18}</b:Guid>
    <b:LCID>en-US</b:LCID>
    <b:Title>The standard enthalpy of formation of In2O3</b:Title>
    <b:JournalName>J. Chem. Thermodyn.</b:JournalName>
    <b:Year>1991</b:Year>
    <b:Pages>451-454</b:Pages>
    <b:Author>
      <b:Author>
        <b:NameList>
          <b:Person>
            <b:Last>Cordfunke</b:Last>
            <b:First>E.</b:First>
            <b:Middle>H. P.</b:Middle>
          </b:Person>
          <b:Person>
            <b:Last>Konings</b:Last>
            <b:First>R.</b:First>
            <b:Middle>J. M.</b:Middle>
          </b:Person>
          <b:Person>
            <b:Last>Ouweltjes</b:Last>
            <b:First>W.</b:First>
          </b:Person>
        </b:NameList>
      </b:Author>
    </b:Author>
    <b:Volume>23</b:Volume>
    <b:URL>https://www.sciencedirect.com/science/article/pii/S0021961405801326</b:URL>
    <b:RefOrder>66</b:RefOrder>
  </b:Source>
  <b:Source>
    <b:Tag>EHP87</b:Tag>
    <b:SourceType>JournalArticle</b:SourceType>
    <b:Guid>{4BAB8B00-ECD1-4055-BFF3-16F44EDF3C4F}</b:Guid>
    <b:Title>Standard enthalpies of formation of tellurium compounds I. Tellurium dioxide</b:Title>
    <b:Year>1987</b:Year>
    <b:JournalName>J. Chem. Thermodyn.</b:JournalName>
    <b:Pages>369-375</b:Pages>
    <b:Author>
      <b:Author>
        <b:NameList>
          <b:Person>
            <b:Last>Cordfunke</b:Last>
            <b:First>E.</b:First>
            <b:Middle>H. P</b:Middle>
          </b:Person>
          <b:Person>
            <b:Last>Ouweltjes</b:Last>
            <b:First>W.</b:First>
          </b:Person>
          <b:Person>
            <b:Last>Prins</b:Last>
            <b:First>G.</b:First>
          </b:Person>
        </b:NameList>
      </b:Author>
    </b:Author>
    <b:Volume>19</b:Volume>
    <b:URL>https://www.sciencedirect.com/science/article/pii/0021961487901200</b:URL>
    <b:RefOrder>67</b:RefOrder>
  </b:Source>
  <b:Source>
    <b:Tag>Buy14</b:Tag>
    <b:SourceType>JournalArticle</b:SourceType>
    <b:Guid>{A9C80FEB-3094-4DCF-8848-62F615F20F75}</b:Guid>
    <b:Title>Defect Chemistry of Singly and Doubly Doped Ceria: Correlation between Ion Transport and Energetics</b:Title>
    <b:JournalName>Angew. Chem.</b:JournalName>
    <b:Year>2014</b:Year>
    <b:Pages>9671-9675</b:Pages>
    <b:LCID>en-US</b:LCID>
    <b:Author>
      <b:Author>
        <b:NameList>
          <b:Person>
            <b:Last>Buyukkilic</b:Last>
            <b:First>S.</b:First>
          </b:Person>
          <b:Person>
            <b:Last>Kim</b:Last>
            <b:First>S.</b:First>
          </b:Person>
          <b:Person>
            <b:Last>Navrotsky</b:Last>
            <b:First>A.</b:First>
          </b:Person>
        </b:NameList>
      </b:Author>
    </b:Author>
    <b:Volume>126</b:Volume>
    <b:URL>https://doi.org/10.1002/ange.201404618</b:URL>
    <b:RefOrder>68</b:RefOrder>
  </b:Source>
  <b:Source>
    <b:Tag>Buc15</b:Tag>
    <b:SourceType>JournalArticle</b:SourceType>
    <b:Guid>{179540EF-E03B-40CD-8433-4A263B077AD6}</b:Guid>
    <b:Title>Preparation and characterization of sol–gel derived high lithium ion conductive NZP-type ceramics Li1 + x AlxTi2 − x(PO4)3</b:Title>
    <b:JournalName>Solid State Ion.</b:JournalName>
    <b:Year>2015</b:Year>
    <b:Pages>77-82</b:Pages>
    <b:Author>
      <b:Author>
        <b:NameList>
          <b:Person>
            <b:Last>Bucharsky</b:Last>
            <b:First>E.</b:First>
            <b:Middle>C.</b:Middle>
          </b:Person>
          <b:Person>
            <b:Last>Schell</b:Last>
            <b:First>K.</b:First>
            <b:Middle>G.</b:Middle>
          </b:Person>
          <b:Person>
            <b:Last>Hintennach</b:Last>
            <b:First>A.</b:First>
          </b:Person>
          <b:Person>
            <b:Last>Hoffmann</b:Last>
            <b:First>M.</b:First>
            <b:Middle>J.</b:Middle>
          </b:Person>
        </b:NameList>
      </b:Author>
    </b:Author>
    <b:Volume>274</b:Volume>
    <b:URL>https://doi.org/10.1016/j.ssi.2015.03.009</b:URL>
    <b:RefOrder>69</b:RefOrder>
  </b:Source>
  <b:Source>
    <b:Tag>MBi16</b:Tag>
    <b:SourceType>JournalArticle</b:SourceType>
    <b:Guid>{8AD8349E-2CD8-4580-8B8A-8911B658DD79}</b:Guid>
    <b:Title>Enthalpy of formation of natural hydrous copper sulfate: Chalcanthite</b:Title>
    <b:JournalName>J. Chem. Thermodynamics</b:JournalName>
    <b:Year>2016</b:Year>
    <b:Pages>142-148</b:Pages>
    <b:LCID>en-US</b:LCID>
    <b:Author>
      <b:Author>
        <b:NameList>
          <b:Person>
            <b:Last>Bissengaliyeva</b:Last>
            <b:First>M.</b:First>
          </b:Person>
          <b:Person>
            <b:Last>Ogorodova</b:Last>
            <b:First>L.</b:First>
          </b:Person>
          <b:Person>
            <b:Last>Vigasina</b:Last>
            <b:First>M.</b:First>
          </b:Person>
          <b:Person>
            <b:Last>Mel’chakova</b:Last>
            <b:First>L.</b:First>
          </b:Person>
          <b:Person>
            <b:Last>Kosova</b:Last>
            <b:First>D.</b:First>
          </b:Person>
          <b:Person>
            <b:Last>Bryzgalov</b:Last>
            <b:First>I.</b:First>
          </b:Person>
          <b:Person>
            <b:Last>Ksenofontov</b:Last>
            <b:First>D.</b:First>
          </b:Person>
        </b:NameList>
      </b:Author>
    </b:Author>
    <b:Volume>95</b:Volume>
    <b:URL>https://www.sciencedirect.com/science/article/pii/S0021961415004553?via%3Dihub</b:URL>
    <b:RefOrder>70</b:RefOrder>
  </b:Source>
  <b:Source>
    <b:Tag>CWB02</b:Tag>
    <b:SourceType>JournalArticle</b:SourceType>
    <b:Guid>{BA6A3853-59A2-40B3-A89E-7D12EA094022}</b:Guid>
    <b:LCID>en-US</b:LCID>
    <b:Title>FactSage thermochemical software and databases</b:Title>
    <b:JournalName>Calphad</b:JournalName>
    <b:Year>2002</b:Year>
    <b:Pages>189-228</b:Pages>
    <b:Author>
      <b:Author>
        <b:NameList>
          <b:Person>
            <b:Last>Bale</b:Last>
            <b:First>C.</b:First>
            <b:Middle>W.</b:Middle>
          </b:Person>
          <b:Person>
            <b:Last>Chartrand</b:Last>
            <b:First>P.</b:First>
          </b:Person>
          <b:Person>
            <b:Last>Degterov</b:Last>
            <b:First>S.</b:First>
            <b:Middle>A.</b:Middle>
          </b:Person>
          <b:Person>
            <b:Last>Eriksson</b:Last>
            <b:First>G.</b:First>
          </b:Person>
          <b:Person>
            <b:Last>Hack</b:Last>
            <b:First>K.</b:First>
          </b:Person>
          <b:Person>
            <b:Last>Mahfoud</b:Last>
            <b:First>R.</b:First>
            <b:Middle>Ben</b:Middle>
          </b:Person>
          <b:Person>
            <b:Last>Melançon</b:Last>
            <b:First>J.</b:First>
          </b:Person>
          <b:Person>
            <b:Last>Pelton</b:Last>
            <b:First>A.</b:First>
            <b:Middle>D.</b:Middle>
          </b:Person>
          <b:Person>
            <b:Last>Petersen</b:Last>
            <b:First>S.</b:First>
          </b:Person>
        </b:NameList>
      </b:Author>
    </b:Author>
    <b:Volume>26</b:Volume>
    <b:URL>https://www.sciencedirect.com/science/article/abs/pii/S0364591602000354</b:URL>
    <b:RefOrder>71</b:RefOrder>
  </b:Source>
  <b:Source>
    <b:Tag>Avi09</b:Tag>
    <b:SourceType>JournalArticle</b:SourceType>
    <b:Guid>{398CB175-6564-4144-9058-EE55761AE0D9}</b:Guid>
    <b:Title>A correlation between the ionic conductivities and the formation enthalpies of trivalent-doped ceria at relatively low temperatures</b:Title>
    <b:JournalName>Phys. Chem. Chem. Phys.</b:JournalName>
    <b:Year>2009</b:Year>
    <b:Pages>8580-8585</b:Pages>
    <b:LCID>en-US</b:LCID>
    <b:Author>
      <b:Author>
        <b:NameList>
          <b:Person>
            <b:Last>Avila-Paredes</b:Last>
            <b:First>H.</b:First>
            <b:Middle>J.</b:Middle>
          </b:Person>
          <b:Person>
            <b:Last>Shvareva</b:Last>
            <b:First>T.</b:First>
          </b:Person>
          <b:Person>
            <b:Last>Chen</b:Last>
            <b:First>W.</b:First>
          </b:Person>
          <b:Person>
            <b:Last>Navrotsky</b:Last>
            <b:First>A.</b:First>
          </b:Person>
          <b:Person>
            <b:Last>Kim</b:Last>
            <b:First>S.</b:First>
          </b:Person>
        </b:NameList>
      </b:Author>
    </b:Author>
    <b:Volume>11</b:Volume>
    <b:URL>https://doi.org/10.1039/B821982F</b:URL>
    <b:RefOrder>72</b:RefOrder>
  </b:Source>
  <b:Source>
    <b:Tag>Arb13</b:Tag>
    <b:SourceType>JournalArticle</b:SourceType>
    <b:Guid>{DDC19DF3-BCFE-4818-A089-69ED62BAA2FF}</b:Guid>
    <b:Title>Structural Factors That Enhance Lithium Mobility in Fast-Ion Li1+xTi2−xAlx(PO4)3 (0 ≤ x ≤ 0.4) Conductors Investigated by Neutron Diffraction in the Temperature Range 100−500 K</b:Title>
    <b:JournalName>Inorg. Chem.</b:JournalName>
    <b:Year>2013</b:Year>
    <b:Pages>9290−9296</b:Pages>
    <b:Author>
      <b:Author>
        <b:NameList>
          <b:Person>
            <b:Last>Arbi</b:Last>
            <b:First>K.</b:First>
          </b:Person>
          <b:Person>
            <b:Last>Hoelzel</b:Last>
            <b:First>M.</b:First>
          </b:Person>
          <b:Person>
            <b:Last>Kuhn</b:Last>
            <b:First>A.</b:First>
          </b:Person>
          <b:Person>
            <b:Last>García-Alvarado</b:Last>
            <b:First>F.</b:First>
          </b:Person>
          <b:Person>
            <b:Last>Sanz</b:Last>
            <b:First>J.</b:First>
          </b:Person>
        </b:NameList>
      </b:Author>
    </b:Author>
    <b:Volume>52</b:Volume>
    <b:URL>https://doi.org/10.1021/ic400577v</b:URL>
    <b:RefOrder>73</b:RefOrder>
  </b:Source>
  <b:Source>
    <b:Tag>Arb07</b:Tag>
    <b:SourceType>JournalArticle</b:SourceType>
    <b:Guid>{0E496F64-7113-46D0-89FE-DA037F39CE98}</b:Guid>
    <b:Title>Lithium mobility in titanium based Nasicon Li1+xTi2−xAlx(PO4)3 and LiTi2−x Zrx(PO4)3 materials followed by NMR and impedance spectroscopy</b:Title>
    <b:JournalName>J. Eur. Ceram. Soc.</b:JournalName>
    <b:Year>2007</b:Year>
    <b:Pages>4215-4218</b:Pages>
    <b:LCID>en-US</b:LCID>
    <b:Author>
      <b:Author>
        <b:NameList>
          <b:Person>
            <b:Last>Arbi</b:Last>
            <b:First>K.</b:First>
          </b:Person>
          <b:Person>
            <b:Last>Rojo</b:Last>
            <b:First>J.M.</b:First>
          </b:Person>
          <b:Person>
            <b:Last>Sanz</b:Last>
            <b:First>J.</b:First>
          </b:Person>
        </b:NameList>
      </b:Author>
    </b:Author>
    <b:Volume>27</b:Volume>
    <b:URL>https://doi.org/10.1016/j.jeurceramsoc.2007.02.118</b:URL>
    <b:RefOrder>74</b:RefOrder>
  </b:Source>
  <b:Source>
    <b:Tag>Arb02</b:Tag>
    <b:SourceType>JournalArticle</b:SourceType>
    <b:Guid>{D0E23EE4-C38B-411C-90D2-252ECB4A7760}</b:Guid>
    <b:Title>Dependence of Ionic Conductivity on Composition of Fast Ionic Conductors Li1+xTi2-xAlx(PO4)3, 0 ≤ x ≤ 0.7. A Parallel NMR and Electric Impedance Study</b:Title>
    <b:JournalName>Chem. Mater.</b:JournalName>
    <b:Year>2002</b:Year>
    <b:Pages>1091–1097</b:Pages>
    <b:LCID>en-US</b:LCID>
    <b:Author>
      <b:Author>
        <b:NameList>
          <b:Person>
            <b:Last>Arbi</b:Last>
            <b:First>K.</b:First>
          </b:Person>
          <b:Person>
            <b:Last>Mandal</b:Last>
            <b:First>S.</b:First>
          </b:Person>
          <b:Person>
            <b:Last>Rojo</b:Last>
            <b:First>J.</b:First>
            <b:Middle>M.</b:Middle>
          </b:Person>
          <b:Person>
            <b:Last>Sanz</b:Last>
            <b:First>J.</b:First>
          </b:Person>
        </b:NameList>
      </b:Author>
    </b:Author>
    <b:Volume>14</b:Volume>
    <b:URL>https://doi.org/10.1021/cm010528i</b:URL>
    <b:RefOrder>75</b:RefOrder>
  </b:Source>
  <b:Source>
    <b:Tag>LAk14</b:Tag>
    <b:SourceType>JournalArticle</b:SourceType>
    <b:Guid>{C1B2054D-C89C-40E7-9FCD-9BFDBD50D490}</b:Guid>
    <b:LCID>en-US</b:LCID>
    <b:Title>WinCSD: software package for crystallographic calculations (Version 4)</b:Title>
    <b:JournalName>‎J. Appl. Crystallogr.</b:JournalName>
    <b:Year>2014</b:Year>
    <b:Pages>803-805</b:Pages>
    <b:Author>
      <b:Author>
        <b:NameList>
          <b:Person>
            <b:Last>Akselrud</b:Last>
            <b:First>L.</b:First>
          </b:Person>
          <b:Person>
            <b:Last>Grin</b:Last>
            <b:First>Yu.</b:First>
          </b:Person>
        </b:NameList>
      </b:Author>
    </b:Author>
    <b:Volume>47</b:Volume>
    <b:URL>https://journals.iucr.org/j/issues/2014/02/00/to5068/</b:URL>
    <b:RefOrder>3</b:RefOrder>
  </b:Source>
  <b:Source>
    <b:Tag>MAk84</b:Tag>
    <b:SourceType>JournalArticle</b:SourceType>
    <b:Guid>{EA90D0C4-DECA-4F24-AFA6-71E2BA888369}</b:Guid>
    <b:LCID>en-US</b:LCID>
    <b:Title>The Mg2SiO4 polymorphs (olivine, modified spinel and spinel)–thermodynamic properties from oxide melt solution calorimetry, phase relations, and models of lattice vibrations</b:Title>
    <b:JournalName>Am. Mineral.</b:JournalName>
    <b:Year>1984</b:Year>
    <b:Pages>499–512</b:Pages>
    <b:Author>
      <b:Author>
        <b:NameList>
          <b:Person>
            <b:Last>Akaogi</b:Last>
            <b:First>M.</b:First>
          </b:Person>
          <b:Person>
            <b:Last>Ross</b:Last>
            <b:First>N.</b:First>
            <b:Middle>L.</b:Middle>
          </b:Person>
          <b:Person>
            <b:Last>McMillan</b:Last>
            <b:First>P.</b:First>
          </b:Person>
          <b:Person>
            <b:Last>Navrostky</b:Last>
            <b:First>A.</b:First>
          </b:Person>
        </b:NameList>
      </b:Author>
    </b:Author>
    <b:Volume>69</b:Volume>
    <b:URL>https://pubs.geoscienceworld.org/msa/ammin/article-abstract/69/5-6/499/41613</b:URL>
    <b:RefOrder>76</b:RefOrder>
  </b:Source>
  <b:Source>
    <b:Tag>AJP16</b:Tag>
    <b:SourceType>JournalArticle</b:SourceType>
    <b:Guid>{08556890-FA4B-4B98-8640-8FA7256255A4}</b:Guid>
    <b:Title>Strong Oxygen Participation in the Redox Governing the Structural and Electrochemical Properties of Na-Rich Layered Oxide Na2IrO3</b:Title>
    <b:JournalName>Chem. Mater.</b:JournalName>
    <b:Year>2016</b:Year>
    <b:Pages>8278–8288</b:Pages>
    <b:LCID>en-US</b:LCID>
    <b:Author>
      <b:Author>
        <b:NameList>
          <b:Person>
            <b:Last>A. J. Perez</b:Last>
            <b:First>D.</b:First>
            <b:Middle>Batuk, M. Saubanère, G. Rousse, D. Foix, E. McCalla, E. J. Berg, R. Dugas, K. H. W. van den Bos, M.-L. Doublet, D. Gonbeau, A. M. Abakumov, G. Van Tendelo</b:Middle>
          </b:Person>
        </b:NameList>
      </b:Author>
    </b:Author>
    <b:Volume>28</b:Volume>
    <b:RefOrder>77</b:RefOrder>
  </b:Source>
  <b:Source>
    <b:Tag>MWC85</b:Tag>
    <b:SourceType>BookSection</b:SourceType>
    <b:Guid>{3814D46B-10A6-4536-AF9E-A4E1A1535CE2}</b:Guid>
    <b:LCID>en-US</b:LCID>
    <b:Title>JANAF Thermochemical Tables, Vol. 14, 3rd ed.</b:Title>
    <b:JournalName>J. Phys. Chem. Ref. Data 14 (Suppl. 1)</b:JournalName>
    <b:Year>1985</b:Year>
    <b:Author>
      <b:Author>
        <b:NameList>
          <b:Person>
            <b:Last>Chase</b:Last>
            <b:First>M.</b:First>
            <b:Middle>e. a.</b:Middle>
          </b:Person>
        </b:NameList>
      </b:Author>
    </b:Author>
    <b:URL>https://janaf.nist.gov/</b:URL>
    <b:Publisher>American Chemical Society and American Institute of Physics</b:Publisher>
    <b:RefOrder>9</b:RefOrder>
  </b:Source>
  <b:Source>
    <b:Tag>SHa20</b:Tag>
    <b:SourceType>JournalArticle</b:SourceType>
    <b:Guid>{012C0B85-2FC3-4787-903C-C70106C3C9A2}</b:Guid>
    <b:Title>Enthalpies of Formation of High Entropy and Multicomponent Alloys using Oxide Melt Solution Calorimetry</b:Title>
    <b:JournalName>Intermetallics</b:JournalName>
    <b:Year>2020</b:Year>
    <b:LCID>en-US</b:LCID>
    <b:Author>
      <b:Author>
        <b:NameList>
          <b:Person>
            <b:Last>Hayun</b:Last>
            <b:First>S.</b:First>
          </b:Person>
          <b:Person>
            <b:Last>Salhov</b:Last>
            <b:First>S.</b:First>
          </b:Person>
          <b:Person>
            <b:Last>Lilova</b:Last>
            <b:First>K.</b:First>
          </b:Person>
          <b:Person>
            <b:Last>Navrotsky</b:Last>
            <b:First>A.</b:First>
          </b:Person>
        </b:NameList>
      </b:Author>
    </b:Author>
    <b:Pages>106897</b:Pages>
    <b:Volume>125</b:Volume>
    <b:URL>https://doi.org/10.1016/j.intermet.2020.106897</b:URL>
    <b:RefOrder>11</b:RefOrder>
  </b:Source>
  <b:Source>
    <b:Tag>Che78</b:Tag>
    <b:SourceType>BookSection</b:SourceType>
    <b:Guid>{4569F210-A929-4B21-842E-B4B53043625E}</b:Guid>
    <b:LCID>en-US</b:LCID>
    <b:Year>1978</b:Year>
    <b:Author>
      <b:Author>
        <b:NameList>
          <b:Person>
            <b:Last>Company</b:Last>
            <b:First>Chemical</b:First>
            <b:Middle>Rubber</b:Middle>
          </b:Person>
        </b:NameList>
      </b:Author>
    </b:Author>
    <b:BookTitle>CRC Handbook of Chemistry and Physics</b:BookTitle>
    <b:Publisher>Boca Raton, Fla. : CRC Press : Taylor &amp; Francis</b:Publisher>
    <b:RefOrder>12</b:RefOrder>
  </b:Source>
  <b:Source>
    <b:Tag>Kim19</b:Tag>
    <b:SourceType>JournalArticle</b:SourceType>
    <b:Guid>{0FC1BC00-172A-465E-A7C0-855EC1FBE81B}</b:Guid>
    <b:Title>Lithium-ion batteries: outlook on present, future, and hybridized technologies </b:Title>
    <b:JournalName>J. Mater. Chem. A</b:JournalName>
    <b:Year>2019</b:Year>
    <b:Pages>2942-2964</b:Pages>
    <b:LCID>en-US</b:LCID>
    <b:Author>
      <b:Author>
        <b:NameList>
          <b:Person>
            <b:Last>Kim</b:Last>
            <b:First>T.</b:First>
          </b:Person>
          <b:Person>
            <b:Last>Song</b:Last>
            <b:First>W.</b:First>
          </b:Person>
          <b:Person>
            <b:Last>Son</b:Last>
            <b:First>D.-Y.</b:First>
          </b:Person>
          <b:Person>
            <b:Last>Ono</b:Last>
            <b:First>L.</b:First>
            <b:Middle>K.</b:Middle>
          </b:Person>
          <b:Person>
            <b:Last>Qi</b:Last>
            <b:First>Y.</b:First>
          </b:Person>
        </b:NameList>
      </b:Author>
    </b:Author>
    <b:Volume>7</b:Volume>
    <b:URL>https://doi.org/10.1039/C8TA10513H</b:URL>
    <b:RefOrder>2</b:RefOrder>
  </b:Source>
  <b:Source>
    <b:Tag>Lar15</b:Tag>
    <b:SourceType>JournalArticle</b:SourceType>
    <b:Guid>{F07492CD-9E4E-4CDC-AF40-0C9334F7F032}</b:Guid>
    <b:LCID>en-US</b:LCID>
    <b:Title>Towards greener and more sustainable batteries for electrical energy storage</b:Title>
    <b:JournalName>Nat. Chem.</b:JournalName>
    <b:Year>2015</b:Year>
    <b:Pages>19-29</b:Pages>
    <b:Author>
      <b:Author>
        <b:NameList>
          <b:Person>
            <b:Last>Larcher</b:Last>
            <b:First>D.</b:First>
          </b:Person>
          <b:Person>
            <b:Last>Tarascon</b:Last>
            <b:First>J.</b:First>
            <b:Middle>M.</b:Middle>
          </b:Person>
        </b:NameList>
      </b:Author>
    </b:Author>
    <b:Volume>7</b:Volume>
    <b:URL>https://doi.org/10.1038/nchem.2085</b:URL>
    <b:RefOrder>3</b:RefOrder>
  </b:Source>
  <b:Source>
    <b:Tag>Man20</b:Tag>
    <b:SourceType>JournalArticle</b:SourceType>
    <b:Guid>{5778D291-63C6-4D00-85A4-2F2E2CAE2FB6}</b:Guid>
    <b:LCID>en-US</b:LCID>
    <b:Title>A reflection on lithium-ion battery cathode chemistry</b:Title>
    <b:JournalName>Nat. Commun.</b:JournalName>
    <b:Year>2020</b:Year>
    <b:Pages>1550</b:Pages>
    <b:Author>
      <b:Author>
        <b:NameList>
          <b:Person>
            <b:Last>Manthiram</b:Last>
            <b:First>A.</b:First>
          </b:Person>
        </b:NameList>
      </b:Author>
    </b:Author>
    <b:Volume>11</b:Volume>
    <b:URL>https://doi.org/10.1038/s41467-020-15355-0</b:URL>
    <b:RefOrder>4</b:RefOrder>
  </b:Source>
  <b:Source>
    <b:Tag>Blo03</b:Tag>
    <b:SourceType>JournalArticle</b:SourceType>
    <b:Guid>{47088998-6B3E-42D1-9621-15DA1498FB24}</b:Guid>
    <b:Title>Liquid electrolytes for lithium and lithium-ion batteries</b:Title>
    <b:JournalName>J. Power Sources</b:JournalName>
    <b:Year>2003</b:Year>
    <b:Pages>326-329</b:Pages>
    <b:LCID>en-US</b:LCID>
    <b:Author>
      <b:Author>
        <b:NameList>
          <b:Person>
            <b:Last>Blomgren</b:Last>
            <b:First>G.E.</b:First>
          </b:Person>
        </b:NameList>
      </b:Author>
    </b:Author>
    <b:Volume>119-121</b:Volume>
    <b:URL>https://doi.org/10.1016/S0378-7753(03)00147-2</b:URL>
    <b:RefOrder>6</b:RefOrder>
  </b:Source>
  <b:Source>
    <b:Tag>Blo17</b:Tag>
    <b:SourceType>JournalArticle</b:SourceType>
    <b:Guid>{2C5A79C7-E0B6-43A2-A605-21B07CBFC4CE}</b:Guid>
    <b:Title>The development and future of lithium ion batteries</b:Title>
    <b:JournalName>J. Electrochem. Soc.</b:JournalName>
    <b:Year>2017</b:Year>
    <b:Pages>A5019</b:Pages>
    <b:LCID>en-US</b:LCID>
    <b:Author>
      <b:Author>
        <b:NameList>
          <b:Person>
            <b:Last>Blomgren</b:Last>
            <b:First>G.E.</b:First>
          </b:Person>
        </b:NameList>
      </b:Author>
    </b:Author>
    <b:Volume>164</b:Volume>
    <b:URL>https://iopscience.iop.org/article/10.1149/2.0251701jes</b:URL>
    <b:RefOrder>7</b:RefOrder>
  </b:Source>
  <b:Source>
    <b:Tag>Zha20</b:Tag>
    <b:SourceType>JournalArticle</b:SourceType>
    <b:Guid>{CEADB520-E943-4271-87AA-10F82FA8A264}</b:Guid>
    <b:LCID>en-US</b:LCID>
    <b:Title>Designing solid-state electrolytes for safe, energy-dense batteries</b:Title>
    <b:JournalName>Nat. Rev. Mater.</b:JournalName>
    <b:Year>2020</b:Year>
    <b:Pages>229-252</b:Pages>
    <b:Author>
      <b:Author>
        <b:NameList>
          <b:Person>
            <b:Last>Zhao</b:Last>
            <b:First>Q.</b:First>
          </b:Person>
          <b:Person>
            <b:Last>Stalin</b:Last>
            <b:First>S.</b:First>
          </b:Person>
          <b:Person>
            <b:Last>Zhao</b:Last>
            <b:First>C.-Z.</b:First>
          </b:Person>
          <b:Person>
            <b:Last>Archer</b:Last>
            <b:First>L.</b:First>
            <b:Middle>A.</b:Middle>
          </b:Person>
        </b:NameList>
      </b:Author>
    </b:Author>
    <b:Volume>5</b:Volume>
    <b:URL>https://doi.org/10.1038/s41578-019-0165-5</b:URL>
    <b:RefOrder>13</b:RefOrder>
  </b:Source>
  <b:Source>
    <b:Tag>Wan20</b:Tag>
    <b:SourceType>JournalArticle</b:SourceType>
    <b:Guid>{B5848D90-448F-4C64-9323-6376F0DB2CA4}</b:Guid>
    <b:Title>Fundamentals of Electrolytes for Solid-State Batteries: Challenges and Perspectives</b:Title>
    <b:JournalName>Front. Mater.</b:JournalName>
    <b:Year>2020</b:Year>
    <b:Pages>111</b:Pages>
    <b:Author>
      <b:Author>
        <b:NameList>
          <b:Person>
            <b:Last>Wang</b:Last>
            <b:First>L.</b:First>
          </b:Person>
          <b:Person>
            <b:Last>Li</b:Last>
            <b:First>J.</b:First>
          </b:Person>
          <b:Person>
            <b:Last>Lu</b:Last>
            <b:First>G.</b:First>
          </b:Person>
          <b:Person>
            <b:Last>Li</b:Last>
            <b:First>W.</b:First>
          </b:Person>
          <b:Person>
            <b:Last>Tao</b:Last>
            <b:First>Q.</b:First>
          </b:Person>
          <b:Person>
            <b:Last>Shi</b:Last>
            <b:First>C.</b:First>
          </b:Person>
          <b:Person>
            <b:Last>Jin</b:Last>
            <b:First>H.</b:First>
          </b:Person>
          <b:Person>
            <b:Last>Chen</b:Last>
            <b:First>G.</b:First>
          </b:Person>
          <b:Person>
            <b:Last>Wang</b:Last>
            <b:First>S.</b:First>
          </b:Person>
        </b:NameList>
      </b:Author>
    </b:Author>
    <b:Volume>7</b:Volume>
    <b:URL>https://doi.org/10.3389/fmats.2020.00111</b:URL>
    <b:RefOrder>14</b:RefOrder>
  </b:Source>
  <b:Source>
    <b:Tag>Bac16</b:Tag>
    <b:SourceType>JournalArticle</b:SourceType>
    <b:Guid>{478CD500-9CD3-43AA-9B42-B1FF46CEEE2A}</b:Guid>
    <b:LCID>en-US</b:LCID>
    <b:Title>Inorganic Solid-State Electrolytes for Lithium Batteries: Mechanisms and Properties Governing Ion Conduction</b:Title>
    <b:JournalName>Chem. Rev.</b:JournalName>
    <b:Year>2016</b:Year>
    <b:Pages>140–162</b:Pages>
    <b:Author>
      <b:Author>
        <b:NameList>
          <b:Person>
            <b:Last>Bachman</b:Last>
            <b:First>J.</b:First>
            <b:Middle>C.</b:Middle>
          </b:Person>
          <b:Person>
            <b:Last>Muy</b:Last>
            <b:First>S.</b:First>
          </b:Person>
          <b:Person>
            <b:Last>Grimaud</b:Last>
            <b:First>A.</b:First>
          </b:Person>
          <b:Person>
            <b:Last>Chang</b:Last>
            <b:First>H.-H.</b:First>
          </b:Person>
          <b:Person>
            <b:Last>Pour</b:Last>
            <b:First>N.</b:First>
          </b:Person>
          <b:Person>
            <b:Last>Lux</b:Last>
            <b:First>S.</b:First>
            <b:Middle>F.</b:Middle>
          </b:Person>
          <b:Person>
            <b:Last>Paschos</b:Last>
            <b:First>O.</b:First>
          </b:Person>
          <b:Person>
            <b:Last>Maglia</b:Last>
            <b:First>F.</b:First>
          </b:Person>
          <b:Person>
            <b:Last>Lupart</b:Last>
            <b:First>S.</b:First>
          </b:Person>
          <b:Person>
            <b:Last>Lamp</b:Last>
            <b:First>P.</b:First>
          </b:Person>
          <b:Person>
            <b:Last>Giordano</b:Last>
            <b:First>L.</b:First>
          </b:Person>
          <b:Person>
            <b:Last>Shao-Horn</b:Last>
            <b:First>Y.</b:First>
          </b:Person>
        </b:NameList>
      </b:Author>
    </b:Author>
    <b:Volume>116</b:Volume>
    <b:URL>https://doi.org/10.1021/acs.chemrev.5b00563</b:URL>
    <b:RefOrder>15</b:RefOrder>
  </b:Source>
  <b:Source>
    <b:Tag>Zha19</b:Tag>
    <b:SourceType>JournalArticle</b:SourceType>
    <b:Guid>{79B2C5B9-C54E-4A8D-9DAF-B7357944C608}</b:Guid>
    <b:LCID>en-US</b:LCID>
    <b:Title>Solid-State Electrolytes for Lithium-Ion Batteries: Fundamentals, Challenges and Perspectives</b:Title>
    <b:JournalName>Electrochem. Energ. Rev.</b:JournalName>
    <b:Year>2019</b:Year>
    <b:Pages>574–605</b:Pages>
    <b:Author>
      <b:Author>
        <b:NameList>
          <b:Person>
            <b:Last>Zhao</b:Last>
            <b:First>W.</b:First>
          </b:Person>
          <b:Person>
            <b:Last>Yi</b:Last>
            <b:First>J.</b:First>
          </b:Person>
          <b:Person>
            <b:Last>He</b:Last>
            <b:First>P.</b:First>
          </b:Person>
          <b:Person>
            <b:Last>Zhou</b:Last>
            <b:First>H.</b:First>
          </b:Person>
        </b:NameList>
      </b:Author>
    </b:Author>
    <b:Volume>2</b:Volume>
    <b:URL>https://doi.org/10.1007/s41918-019-00048-0</b:URL>
    <b:RefOrder>16</b:RefOrder>
  </b:Source>
  <b:Source>
    <b:Tag>Ari09</b:Tag>
    <b:SourceType>BookSection</b:SourceType>
    <b:Guid>{11D70B10-A8E2-476F-A3B1-248AB51D29E9}</b:Guid>
    <b:LCID>en-US</b:LCID>
    <b:Title>Ceramics for electrochemical storage</b:Title>
    <b:Year>549-709</b:Year>
    <b:Author>
      <b:Author>
        <b:NameList>
          <b:Person>
            <b:Last>Arinicheva</b:Last>
            <b:First>Y.</b:First>
          </b:Person>
          <b:Person>
            <b:Last>Wolff</b:Last>
            <b:First>M.</b:First>
          </b:Person>
          <b:Person>
            <b:Last>Lobe</b:Last>
            <b:First>S.</b:First>
          </b:Person>
          <b:Person>
            <b:Last>Dellen</b:Last>
            <b:First>C.</b:First>
          </b:Person>
          <b:Person>
            <b:Last>Fattakhova-Rohlfing</b:Last>
            <b:First>D.</b:First>
          </b:Person>
          <b:Person>
            <b:Last>Guillon</b:Last>
            <b:First>O.</b:First>
          </b:Person>
          <b:Person>
            <b:Last>Böhm</b:Last>
            <b:First>D.</b:First>
          </b:Person>
          <b:Person>
            <b:Last>Zoller</b:Last>
            <b:First>F.</b:First>
          </b:Person>
          <b:Person>
            <b:Last>Schmuch</b:Last>
            <b:First>R.</b:First>
          </b:Person>
          <b:Person>
            <b:Last>Li</b:Last>
            <b:First>J.</b:First>
          </b:Person>
          <b:Person>
            <b:Last>Winter</b:Last>
            <b:First>M.</b:First>
          </b:Person>
          <b:Person>
            <b:Last>Adamczyk</b:Last>
            <b:First>E.</b:First>
          </b:Person>
          <b:Person>
            <b:Last>Pralong</b:Last>
            <b:First>V.</b:First>
          </b:Person>
        </b:NameList>
      </b:Author>
    </b:Author>
    <b:Publisher>Elsevier</b:Publisher>
    <b:BookTitle>Advanced Ceramics for Energy Conversion and Storage Elsevier Series on Advanced Ceramic Materials</b:BookTitle>
    <b:RefOrder>17</b:RefOrder>
  </b:Source>
  <b:Source>
    <b:Tag>Hou20</b:Tag>
    <b:SourceType>JournalArticle</b:SourceType>
    <b:Guid>{0331BD65-658C-45E9-9ED7-41E72851691B}</b:Guid>
    <b:Title>Challenges and perspectives of NASICON-type solid electrolytes for all-solid-state lithium batteries</b:Title>
    <b:Year>2020</b:Year>
    <b:Pages>132003</b:Pages>
    <b:LCID>en-US</b:LCID>
    <b:JournalName>Nanotechnology</b:JournalName>
    <b:Author>
      <b:Author>
        <b:NameList>
          <b:Person>
            <b:Last>Hou</b:Last>
            <b:First>M.</b:First>
          </b:Person>
          <b:Person>
            <b:Last>Liang</b:Last>
            <b:First>F.</b:First>
          </b:Person>
          <b:Person>
            <b:Last>Chen</b:Last>
            <b:First>K.</b:First>
          </b:Person>
          <b:Person>
            <b:Last>Dai</b:Last>
            <b:First>Y.</b:First>
          </b:Person>
          <b:Person>
            <b:Last>Xue</b:Last>
            <b:First>D.</b:First>
          </b:Person>
        </b:NameList>
      </b:Author>
    </b:Author>
    <b:Volume>31</b:Volume>
    <b:URL>https://iopscience.iop.org/article/10.1088/1361-6528/ab5be7</b:URL>
    <b:RefOrder>20</b:RefOrder>
  </b:Source>
  <b:Source>
    <b:Tag>DeW19</b:Tag>
    <b:SourceType>JournalArticle</b:SourceType>
    <b:Guid>{C43ED679-E273-41E6-A4B9-238F60DA394E}</b:Guid>
    <b:Title>Synthesis and Properties of NaSICON‐type LATP and LAGP Solid Electrolytes</b:Title>
    <b:JournalName>ChemSusChem</b:JournalName>
    <b:Year>2019</b:Year>
    <b:Pages>3713-3725</b:Pages>
    <b:LCID>en-US</b:LCID>
    <b:Author>
      <b:Author>
        <b:NameList>
          <b:Person>
            <b:Last>DeWees</b:Last>
            <b:First>R.</b:First>
          </b:Person>
          <b:Person>
            <b:Last>Wang</b:Last>
            <b:First>H.</b:First>
          </b:Person>
        </b:NameList>
      </b:Author>
    </b:Author>
    <b:Volume>12</b:Volume>
    <b:URL>https://doi.org/10.1002/cssc.201900725</b:URL>
    <b:RefOrder>24</b:RefOrder>
  </b:Source>
  <b:Source>
    <b:Tag>Xia19</b:Tag>
    <b:SourceType>JournalArticle</b:SourceType>
    <b:Guid>{4E1C65B7-4C32-4295-9A72-72136AEE0FB9}</b:Guid>
    <b:LCID>en-US</b:LCID>
    <b:Title>Recent advances in Li1+xAlxTi2−x(PO4)3 solid-state electrolyte for safe lithium batteries</b:Title>
    <b:JournalName>Energy Storage Mater.</b:JournalName>
    <b:Year>2019</b:Year>
    <b:Pages>379-400</b:Pages>
    <b:Author>
      <b:Author>
        <b:NameList>
          <b:Person>
            <b:Last>Xiao</b:Last>
            <b:First>W.</b:First>
          </b:Person>
          <b:Person>
            <b:Last>Wang</b:Last>
            <b:First>J.</b:First>
          </b:Person>
          <b:Person>
            <b:Last>Fan</b:Last>
            <b:First>L.</b:First>
          </b:Person>
          <b:Person>
            <b:Last>Zhang</b:Last>
            <b:First>J.</b:First>
          </b:Person>
          <b:Person>
            <b:Last>Li</b:Last>
            <b:First>X.</b:First>
          </b:Person>
        </b:NameList>
      </b:Author>
    </b:Author>
    <b:Volume>19</b:Volume>
    <b:URL>https://doi.org/10.1016/j.ensm.2018.10.012</b:URL>
    <b:RefOrder>25</b:RefOrder>
  </b:Source>
  <b:Source>
    <b:Tag>Arj19</b:Tag>
    <b:SourceType>JournalArticle</b:SourceType>
    <b:Guid>{E0F68293-974D-43C1-A878-9084EBC46ACE}</b:Guid>
    <b:LCID>en-US</b:LCID>
    <b:Title>Defect formation and migration in Nasicon Li1+xAlxTi2-x(PO4)3</b:Title>
    <b:JournalName>Phys. Chem. Chem. Phys.</b:JournalName>
    <b:Year>2019</b:Year>
    <b:Pages>24232-24238</b:Pages>
    <b:Author>
      <b:Author>
        <b:NameList>
          <b:Person>
            <b:Last>Arjmandi</b:Last>
            <b:First>H.</b:First>
            <b:Middle>R.</b:Middle>
          </b:Person>
          <b:Person>
            <b:Last>Grieshammer</b:Last>
            <b:First>S.</b:First>
          </b:Person>
        </b:NameList>
      </b:Author>
    </b:Author>
    <b:Volume>21</b:Volume>
    <b:URL>https://doi.org/10.1039/C9CP04792A</b:URL>
    <b:RefOrder>26</b:RefOrder>
  </b:Source>
  <b:Source>
    <b:Tag>Dam18</b:Tag>
    <b:SourceType>JournalArticle</b:SourceType>
    <b:Guid>{DBB09F74-E5EB-4489-92D7-0B58104FA3ED}</b:Guid>
    <b:Title>Nanomaterials for Rechargeable Lithium Batteries</b:Title>
    <b:Year>2008</b:Year>
    <b:Pages>2930-2946</b:Pages>
    <b:LCID>en-US</b:LCID>
    <b:JournalName>Angew. Chem.</b:JournalName>
    <b:Author>
      <b:Author>
        <b:NameList>
          <b:Person>
            <b:Last>Bruce</b:Last>
            <b:First>P. G.</b:First>
          </b:Person>
          <b:Person>
            <b:Last>Scrosati</b:Last>
            <b:First>B.</b:First>
          </b:Person>
          <b:Person>
            <b:Last>Tarascon</b:Last>
            <b:First>J.‐M.</b:First>
          </b:Person>
        </b:NameList>
      </b:Author>
    </b:Author>
    <b:URL>https://doi.org/10.1002/anie.200702505</b:URL>
    <b:Volume>47</b:Volume>
    <b:RefOrder>1</b:RefOrder>
  </b:Source>
  <b:Source>
    <b:Tag>Cas20</b:Tag>
    <b:SourceType>JournalArticle</b:SourceType>
    <b:Guid>{A4460E57-D132-4AEC-8CA8-BDB24F094E1B}</b:Guid>
    <b:LCID>en-US</b:LCID>
    <b:Title>Structure and ion transport of lithium-rich Li1+xAlxTi2−x(PO4)3 with 0.3&lt;x&lt;0.5: A combined computational and experimental study</b:Title>
    <b:JournalName>Solid State Ion.</b:JournalName>
    <b:Year>2020</b:Year>
    <b:Pages>115192</b:Pages>
    <b:Author>
      <b:Author>
        <b:NameList>
          <b:Person>
            <b:Last>Case</b:Last>
            <b:First>D.</b:First>
          </b:Person>
          <b:Person>
            <b:Last>McSloy</b:Last>
            <b:First>A.</b:First>
            <b:Middle>J.</b:Middle>
          </b:Person>
          <b:Person>
            <b:Last>Sharpe</b:Last>
            <b:First>R.</b:First>
          </b:Person>
          <b:Person>
            <b:Last>Yeandel</b:Last>
            <b:First>S.</b:First>
            <b:Middle>R.</b:Middle>
          </b:Person>
          <b:Person>
            <b:Last>Bartlett</b:Last>
            <b:First>T.</b:First>
          </b:Person>
          <b:Person>
            <b:Last>Cookson</b:Last>
            <b:First>J.</b:First>
          </b:Person>
          <b:Person>
            <b:Last>Dashjav</b:Last>
            <b:First>E.</b:First>
          </b:Person>
          <b:Person>
            <b:Last>Tietz</b:Last>
            <b:First>F.</b:First>
          </b:Person>
          <b:Person>
            <b:Last>Kumar</b:Last>
            <b:First>C.</b:First>
            <b:Middle>M. N.</b:Middle>
          </b:Person>
          <b:Person>
            <b:Last>Goddard</b:Last>
            <b:First>P.</b:First>
          </b:Person>
        </b:NameList>
      </b:Author>
    </b:Author>
    <b:Volume>346</b:Volume>
    <b:URL>https://doi.org/10.1016/j.ssi.2019.115192</b:URL>
    <b:RefOrder>28</b:RefOrder>
  </b:Source>
  <b:Source>
    <b:Tag>Wan16</b:Tag>
    <b:SourceType>JournalArticle</b:SourceType>
    <b:Guid>{8CC7D3FF-6E7D-43E1-BF6B-60CFA6592DCB}</b:Guid>
    <b:LCID>en-US</b:LCID>
    <b:Title>Durability of the Li1+xTi2–xAlx(PO4)3 Solid Electrolyte in Lithium–Sulfur Batteries</b:Title>
    <b:JournalName>ACS Energy Lett.</b:JournalName>
    <b:Year>2016</b:Year>
    <b:Pages>1080–1085</b:Pages>
    <b:Author>
      <b:Author>
        <b:NameList>
          <b:Person>
            <b:Last>Wang</b:Last>
            <b:First>S.</b:First>
          </b:Person>
          <b:Person>
            <b:Last>Ding</b:Last>
            <b:First>Y.</b:First>
          </b:Person>
          <b:Person>
            <b:Last>Zhou</b:Last>
            <b:First>G.</b:First>
          </b:Person>
          <b:Person>
            <b:Last>Yu</b:Last>
            <b:First>G.</b:First>
          </b:Person>
          <b:Person>
            <b:Last>Manthiram</b:Last>
            <b:First>A.</b:First>
          </b:Person>
        </b:NameList>
      </b:Author>
    </b:Author>
    <b:Volume>1</b:Volume>
    <b:URL>https://doi.org/10.1021/acsenergylett.6b00481</b:URL>
    <b:RefOrder>19</b:RefOrder>
  </b:Source>
  <b:Source>
    <b:Tag>Mee17</b:Tag>
    <b:SourceType>JournalArticle</b:SourceType>
    <b:Guid>{D4F610AB-8571-42F2-9B71-FD84588CEDEF}</b:Guid>
    <b:LCID>en-US</b:LCID>
    <b:Title>Recent Advancements in Li-Ion Conductors for All-Solid-State Li-Ion Batteries</b:Title>
    <b:JournalName>ACS Energy Lett.</b:JournalName>
    <b:Year>2017</b:Year>
    <b:Pages>2734–2751</b:Pages>
    <b:Author>
      <b:Author>
        <b:NameList>
          <b:Person>
            <b:Last>Meesala</b:Last>
            <b:First>Y.</b:First>
          </b:Person>
          <b:Person>
            <b:Last>Jena</b:Last>
            <b:First>A.</b:First>
          </b:Person>
          <b:Person>
            <b:Last>Chang</b:Last>
            <b:First>H.</b:First>
          </b:Person>
          <b:Person>
            <b:Last>Liu</b:Last>
            <b:First>R.-S.</b:First>
          </b:Person>
        </b:NameList>
      </b:Author>
    </b:Author>
    <b:Volume>2</b:Volume>
    <b:URL>https://doi.org/10.1021/acsenergylett.7b00849</b:URL>
    <b:RefOrder>12</b:RefOrder>
  </b:Source>
  <b:Source>
    <b:Tag>Xin17</b:Tag>
    <b:SourceType>JournalArticle</b:SourceType>
    <b:Guid>{3B0AC6EF-D83A-42B8-9BE9-E423384F1621}</b:Guid>
    <b:Title>Solid-State Lithium Metal Batteries Promoted by Nanotechnology: Progress and Prospects</b:Title>
    <b:JournalName>ACS Energy Lett.</b:JournalName>
    <b:Year>2017</b:Year>
    <b:Pages>1385–1394</b:Pages>
    <b:LCID>en-US</b:LCID>
    <b:Author>
      <b:Author>
        <b:NameList>
          <b:Person>
            <b:Last>Xin</b:Last>
            <b:First>S.</b:First>
          </b:Person>
          <b:Person>
            <b:Last>You</b:Last>
            <b:First>Y.</b:First>
          </b:Person>
          <b:Person>
            <b:Last>Wang</b:Last>
            <b:First>S.</b:First>
          </b:Person>
          <b:Person>
            <b:Last>Gao</b:Last>
            <b:First>H.-C.</b:First>
          </b:Person>
          <b:Person>
            <b:Last>Yin</b:Last>
            <b:First>Y.-X.</b:First>
          </b:Person>
          <b:Person>
            <b:Last>Guo</b:Last>
            <b:First>Y.-G.</b:First>
          </b:Person>
        </b:NameList>
      </b:Author>
    </b:Author>
    <b:Volume>2</b:Volume>
    <b:URL>https://doi.org/10.1021/acsenergylett.7b00175</b:URL>
    <b:RefOrder>11</b:RefOrder>
  </b:Source>
  <b:Source>
    <b:Tag>Qia19</b:Tag>
    <b:SourceType>JournalArticle</b:SourceType>
    <b:Guid>{EC7AD0AB-5322-4233-AE3B-CAC3C70BB511}</b:Guid>
    <b:LCID>en-US</b:LCID>
    <b:Title>Designing Flexible Lithium-Ion Batteries by Structural Engineering</b:Title>
    <b:JournalName>ACS Energy Lett.</b:JournalName>
    <b:Year>2019</b:Year>
    <b:Pages>690–701</b:Pages>
    <b:Author>
      <b:Author>
        <b:NameList>
          <b:Person>
            <b:Last>Qian</b:Last>
            <b:First>G.</b:First>
          </b:Person>
          <b:Person>
            <b:Last>Liao</b:Last>
            <b:First>X.</b:First>
          </b:Person>
          <b:Person>
            <b:Last>Zhu</b:Last>
            <b:First>Y.</b:First>
          </b:Person>
          <b:Person>
            <b:Last>Pan</b:Last>
            <b:First>F.</b:First>
          </b:Person>
          <b:Person>
            <b:Last>Chen</b:Last>
            <b:First>X.</b:First>
          </b:Person>
          <b:Person>
            <b:Last>Yang</b:Last>
            <b:First>Y.</b:First>
          </b:Person>
        </b:NameList>
      </b:Author>
    </b:Author>
    <b:Volume>4</b:Volume>
    <b:URL>https://doi.org/10.1021/acsenergylett.8b02496</b:URL>
    <b:RefOrder>5</b:RefOrder>
  </b:Source>
  <b:Source>
    <b:Tag>Cao20</b:Tag>
    <b:SourceType>JournalArticle</b:SourceType>
    <b:Guid>{9F5FC971-DF7A-46AE-8D7A-427957721CBB}</b:Guid>
    <b:LCID>en-US</b:LCID>
    <b:Title>Processing Strategies to Improve Cell-Level Energy Density of Metal Sulfide Electrolyte-Based All-Solid-State Li Metal Batteries and Beyond</b:Title>
    <b:JournalName>ACS Energy Lett.</b:JournalName>
    <b:Year>2020</b:Year>
    <b:Pages>3468–3489</b:Pages>
    <b:Author>
      <b:Author>
        <b:NameList>
          <b:Person>
            <b:Last>Cao</b:Last>
            <b:First>D.</b:First>
          </b:Person>
          <b:Person>
            <b:Last>Zhao</b:Last>
            <b:First>Y.</b:First>
          </b:Person>
          <b:Person>
            <b:Last>Sun</b:Last>
            <b:First>X.</b:First>
          </b:Person>
          <b:Person>
            <b:Last>Natan</b:Last>
            <b:First>A.</b:First>
          </b:Person>
          <b:Person>
            <b:Last>Wang</b:Last>
            <b:First>Y.</b:First>
          </b:Person>
          <b:Person>
            <b:Last>Xiang</b:Last>
            <b:First>P.</b:First>
          </b:Person>
          <b:Person>
            <b:Last>Wang</b:Last>
            <b:First>W.</b:First>
          </b:Person>
          <b:Person>
            <b:Last>Zhu</b:Last>
            <b:First>H.</b:First>
          </b:Person>
        </b:NameList>
      </b:Author>
    </b:Author>
    <b:Volume>5</b:Volume>
    <b:URL>https://doi.org/10.1021/acsenergylett.0c01905</b:URL>
    <b:RefOrder>10</b:RefOrder>
  </b:Source>
  <b:Source>
    <b:Tag>Par20</b:Tag>
    <b:SourceType>JournalArticle</b:SourceType>
    <b:Guid>{5590893A-D971-46A7-925A-C313F54B8640}</b:Guid>
    <b:LCID>en-US</b:LCID>
    <b:Title>High-Voltage Superionic Halide Solid Electrolytes for All-Solid-State Li-Ion Batteries</b:Title>
    <b:JournalName>ACS Energy Lett.</b:JournalName>
    <b:Year>2020</b:Year>
    <b:Pages>533–539</b:Pages>
    <b:Author>
      <b:Author>
        <b:NameList>
          <b:Person>
            <b:Last>Park</b:Last>
            <b:First>K.-H.</b:First>
          </b:Person>
          <b:Person>
            <b:Last>Kaup</b:Last>
            <b:First>K.</b:First>
          </b:Person>
          <b:Person>
            <b:Last>Assoud</b:Last>
            <b:First>A.</b:First>
          </b:Person>
          <b:Person>
            <b:Last>Zhang</b:Last>
            <b:First>Q.</b:First>
          </b:Person>
          <b:Person>
            <b:Last>Wu</b:Last>
            <b:First>X.</b:First>
          </b:Person>
          <b:Person>
            <b:Last>Nazar</b:Last>
            <b:First>L.</b:First>
            <b:Middle>F.</b:Middle>
          </b:Person>
        </b:NameList>
      </b:Author>
    </b:Author>
    <b:Volume>5</b:Volume>
    <b:URL>https://doi.org/10.1021/acsenergylett.9b02599</b:URL>
    <b:RefOrder>9</b:RefOrder>
  </b:Source>
  <b:Source>
    <b:Tag>Jen18</b:Tag>
    <b:SourceType>JournalArticle</b:SourceType>
    <b:Guid>{F512FE5D-79E0-4A87-8F10-529841270ABB}</b:Guid>
    <b:Title>Ameliorating Interfacial Ionic Transportation in All-Solid-State Li-Ion Batteries with Interlayer Modifications</b:Title>
    <b:JournalName>ACS Energy Lett.</b:JournalName>
    <b:Year>2018</b:Year>
    <b:Pages>2775–2795</b:Pages>
    <b:LCID>en-US</b:LCID>
    <b:Author>
      <b:Author>
        <b:NameList>
          <b:Person>
            <b:Last>Jena</b:Last>
            <b:First>A.</b:First>
          </b:Person>
          <b:Person>
            <b:Last>Meesala</b:Last>
            <b:First>Y.</b:First>
          </b:Person>
          <b:Person>
            <b:Last>Hu</b:Last>
            <b:First>S.-F.</b:First>
          </b:Person>
          <b:Person>
            <b:Last>Chang</b:Last>
            <b:First>H.</b:First>
          </b:Person>
          <b:Person>
            <b:Last>Liu</b:Last>
            <b:First>R.-S.</b:First>
          </b:Person>
        </b:NameList>
      </b:Author>
    </b:Author>
    <b:Volume>3</b:Volume>
    <b:URL>https://doi.org/10.1021/acsenergylett.8b01564</b:URL>
    <b:RefOrder>8</b:RefOrder>
  </b:Source>
  <b:Source>
    <b:Tag>Placeholder1</b:Tag>
    <b:SourceType>JournalArticle</b:SourceType>
    <b:Guid>{D6FD66F3-2D3A-420B-93D4-A6EE5AD6BCCE}</b:Guid>
    <b:Title>Enthalpies of Formation of High Entropy and Multicomponent Alloys using Oxide Melt Solution Calorimetry</b:Title>
    <b:JournalName>Intermetallics</b:JournalName>
    <b:Year>2020</b:Year>
    <b:LCID>en-US</b:LCID>
    <b:Author>
      <b:Author>
        <b:NameList>
          <b:Person>
            <b:Last>Hayun</b:Last>
            <b:First>S.</b:First>
          </b:Person>
          <b:Person>
            <b:Last>Salhov</b:Last>
            <b:First>S.</b:First>
          </b:Person>
          <b:Person>
            <b:Last>Lilova</b:Last>
            <b:First>K.</b:First>
          </b:Person>
          <b:Person>
            <b:Last>Navrotsky</b:Last>
            <b:First>A.</b:First>
          </b:Person>
        </b:NameList>
      </b:Author>
    </b:Author>
    <b:Pages>106897</b:Pages>
    <b:Volume>125</b:Volume>
    <b:URL>106897</b:URL>
    <b:RefOrder>48</b:RefOrder>
  </b:Source>
  <b:Source>
    <b:Tag>Aiz10</b:Tag>
    <b:SourceType>JournalArticle</b:SourceType>
    <b:Guid>{B9F5D5DD-BDE2-4336-8CE5-675ADB89CFF8}</b:Guid>
    <b:LCID>en-US</b:LCID>
    <b:Title>Thermochemistry of Lanthana- and Yttria-Doped Thoria</b:Title>
    <b:Year>2010</b:Year>
    <b:Pages>4142–4147</b:Pages>
    <b:JournalName>J. Am. Ceram. Soc.</b:JournalName>
    <b:Author>
      <b:Author>
        <b:NameList>
          <b:Person>
            <b:Last>Aizenshtein</b:Last>
            <b:First>M.</b:First>
          </b:Person>
          <b:Person>
            <b:Last>Shvareva</b:Last>
            <b:First>T.</b:First>
            <b:Middle>Y.</b:Middle>
          </b:Person>
          <b:Person>
            <b:Last>Navrotsky</b:Last>
            <b:First>A.</b:First>
          </b:Person>
        </b:NameList>
      </b:Author>
    </b:Author>
    <b:Volume>93</b:Volume>
    <b:URL>https://doi.org/10.1111/j.1551-2916.2010.04001.x</b:URL>
    <b:RefOrder>37</b:RefOrder>
  </b:Source>
  <b:Source>
    <b:Tag>Buy12</b:Tag>
    <b:SourceType>JournalArticle</b:SourceType>
    <b:Guid>{E051D131-7923-43AE-80B6-E9048BCD8C5C}</b:Guid>
    <b:LCID>en-US</b:LCID>
    <b:Title>Enthalpies of formation and insights into defect association in ceria singly and doubly doped with neodymia and samaria</b:Title>
    <b:JournalName>Solid State Ion.</b:JournalName>
    <b:Year>2012</b:Year>
    <b:Pages>17–22</b:Pages>
    <b:Author>
      <b:Author>
        <b:NameList>
          <b:Person>
            <b:Last>Buyukkilic</b:Last>
            <b:First>S.</b:First>
          </b:Person>
          <b:Person>
            <b:Last>Shvareva</b:Last>
            <b:First>T.</b:First>
          </b:Person>
          <b:Person>
            <b:Last>Navrotsky</b:Last>
            <b:First>A.</b:First>
          </b:Person>
        </b:NameList>
      </b:Author>
    </b:Author>
    <b:Volume>227</b:Volume>
    <b:URL>https://doi.org/10.1016/j.ssi.2012.08.017</b:URL>
    <b:RefOrder>39</b:RefOrder>
  </b:Source>
  <b:Source>
    <b:Tag>Nav10</b:Tag>
    <b:SourceType>JournalArticle</b:SourceType>
    <b:Guid>{88B59BA1-C38D-4725-B0D0-EBD667DB066F}</b:Guid>
    <b:LCID>en-US</b:LCID>
    <b:Title>Thermodynamics of solid electrolytes and related oxide ceramics based on the fluorite structure</b:Title>
    <b:JournalName>J. Mater. Chem.</b:JournalName>
    <b:Year>2010</b:Year>
    <b:Pages>10577–10587</b:Pages>
    <b:Author>
      <b:Author>
        <b:NameList>
          <b:Person>
            <b:Last>Navrotsky</b:Last>
            <b:First>A.</b:First>
          </b:Person>
        </b:NameList>
      </b:Author>
    </b:Author>
    <b:Volume>20</b:Volume>
    <b:URL>https://doi.org/10.1039/C0JM01521K</b:URL>
    <b:RefOrder>41</b:RefOrder>
  </b:Source>
  <b:Source>
    <b:Tag>Ogo17</b:Tag>
    <b:SourceType>JournalArticle</b:SourceType>
    <b:Guid>{D3A55DC0-4963-4710-A3D0-E839CFB6A022}</b:Guid>
    <b:LCID>en-US</b:LCID>
    <b:Title>Enthalpy of formation of natural hydrous iron phosphate: Vivianite</b:Title>
    <b:JournalName>J. Chem. Thermodyn.</b:JournalName>
    <b:Year>2017</b:Year>
    <b:Pages>193–200</b:Pages>
    <b:Author>
      <b:Author>
        <b:NameList>
          <b:Person>
            <b:Last>Ogorodova</b:Last>
            <b:First>L.</b:First>
          </b:Person>
          <b:Person>
            <b:Last>Vigasina</b:Last>
            <b:First>M.</b:First>
          </b:Person>
          <b:Person>
            <b:Last>Mel’chakova</b:Last>
            <b:First>L.</b:First>
          </b:Person>
          <b:Person>
            <b:Last>Rusakov</b:Last>
            <b:First>V.</b:First>
          </b:Person>
          <b:Person>
            <b:Last>Kosova</b:Last>
            <b:First>D.</b:First>
          </b:Person>
          <b:Person>
            <b:Last>Ksenofontov</b:Last>
            <b:First>D.</b:First>
          </b:Person>
          <b:Person>
            <b:Last>Bryzgalov</b:Last>
            <b:First>I.</b:First>
          </b:Person>
        </b:NameList>
      </b:Author>
    </b:Author>
    <b:Volume>110</b:Volume>
    <b:URL>https://doi.org/10.1016/j.jct.2017.02.020</b:URL>
    <b:RefOrder>36</b:RefOrder>
  </b:Source>
  <b:Source>
    <b:Tag>Ogo18</b:Tag>
    <b:SourceType>JournalArticle</b:SourceType>
    <b:Guid>{150B99F5-1A67-4DB7-BFF5-20F48234BE29}</b:Guid>
    <b:LCID>en-US</b:LCID>
    <b:Title>Calorimetric study of natural anapaite</b:Title>
    <b:JournalName>Geochemistry Int.</b:JournalName>
    <b:Year>2018</b:Year>
    <b:Pages>397–401</b:Pages>
    <b:Author>
      <b:Author>
        <b:NameList>
          <b:Person>
            <b:Last>Ogorodova</b:Last>
            <b:First>L.</b:First>
            <b:Middle>P.</b:Middle>
          </b:Person>
          <b:Person>
            <b:Last>Melchakova</b:Last>
            <b:First>L.</b:First>
            <b:Middle>V.</b:Middle>
          </b:Person>
          <b:Person>
            <b:Last>Vigasina</b:Last>
            <b:First>M.</b:First>
            <b:Middle>F.</b:Middle>
          </b:Person>
          <b:Person>
            <b:Last>Ksenofontov</b:Last>
            <b:First>D.</b:First>
            <b:Middle>A.</b:Middle>
          </b:Person>
          <b:Person>
            <b:Last>Bryzgalov</b:Last>
            <b:First>I.</b:First>
            <b:Middle>A.</b:Middle>
          </b:Person>
        </b:NameList>
      </b:Author>
    </b:Author>
    <b:Volume>56</b:Volume>
    <b:URL>https://doi.org/10.1134/S0016702918040080</b:URL>
    <b:RefOrder>35</b:RefOrder>
  </b:Source>
  <b:Source>
    <b:Tag>Placeholder2</b:Tag>
    <b:SourceType>JournalArticle</b:SourceType>
    <b:Guid>{C322C126-8327-4DA0-8C60-F7BFD7EBE04E}</b:Guid>
    <b:Title>Enthalpies of Formation of High Entropy and Multicomponent Alloys using Oxide Melt Solution Calorimetry</b:Title>
    <b:JournalName>Submitted</b:JournalName>
    <b:Year>2020</b:Year>
    <b:LCID>en-US</b:LCID>
    <b:Author>
      <b:Author>
        <b:NameList>
          <b:Person>
            <b:Last>Hayun</b:Last>
            <b:First>S.</b:First>
          </b:Person>
          <b:Person>
            <b:Last>Salhov</b:Last>
            <b:First>S.</b:First>
          </b:Person>
          <b:Person>
            <b:Last>Lilova</b:Last>
            <b:First>K.</b:First>
          </b:Person>
          <b:Person>
            <b:Last>Navrotsky</b:Last>
            <b:First>A.</b:First>
          </b:Person>
        </b:NameList>
      </b:Author>
    </b:Author>
    <b:RefOrder>65</b:RefOrder>
  </b:Source>
  <b:Source>
    <b:Tag>Sol14</b:Tag>
    <b:SourceType>JournalArticle</b:SourceType>
    <b:Guid>{9F755D09-A73C-435F-A317-6E56B8E039A0}</b:Guid>
    <b:LCID>en-US</b:LCID>
    <b:Title>Computational study of the energetics and defect clustering tendencies for Y- and La-doped UO2</b:Title>
    <b:JournalName>Acta Mater.</b:JournalName>
    <b:Year>2014</b:Year>
    <b:Pages>282-289</b:Pages>
    <b:Author>
      <b:Author>
        <b:NameList>
          <b:Person>
            <b:Last>Solomon</b:Last>
            <b:First>J.</b:First>
            <b:Middle>M.</b:Middle>
          </b:Person>
          <b:Person>
            <b:Last>Alexandrov</b:Last>
            <b:First>V.</b:First>
          </b:Person>
          <b:Person>
            <b:Last>Sadigh</b:Last>
            <b:First>B.</b:First>
          </b:Person>
          <b:Person>
            <b:Last>Navrotsky</b:Last>
            <b:First>A.</b:First>
          </b:Person>
          <b:Person>
            <b:Last>Asta</b:Last>
            <b:First>M.</b:First>
          </b:Person>
        </b:NameList>
      </b:Author>
    </b:Author>
    <b:Volume>78</b:Volume>
    <b:URL>https://doi.org/10.1016/j.actamat.2014.06.052</b:URL>
    <b:RefOrder>56</b:RefOrder>
  </b:Source>
  <b:Source>
    <b:Tag>Aon90</b:Tag>
    <b:SourceType>JournalArticle</b:SourceType>
    <b:Guid>{7518AA68-87D8-4E22-8675-223C25922740}</b:Guid>
    <b:LCID>en-US</b:LCID>
    <b:Title>Ionic Conductivity of Solid Electrolytes Based on Lithium Titanium Phosphate</b:Title>
    <b:JournalName>J. Electrochem. Soc.</b:JournalName>
    <b:Year>1990</b:Year>
    <b:Pages>137</b:Pages>
    <b:Author>
      <b:Author>
        <b:NameList>
          <b:Person>
            <b:Last>Aono</b:Last>
            <b:First>H.</b:First>
          </b:Person>
          <b:Person>
            <b:Last>Sugimoto</b:Last>
            <b:First>E.</b:First>
          </b:Person>
          <b:Person>
            <b:Last>Sadaoka</b:Last>
            <b:First>Y.</b:First>
          </b:Person>
          <b:Person>
            <b:Last>Imanaka</b:Last>
            <b:First>N.</b:First>
          </b:Person>
          <b:Person>
            <b:Last>Adachi</b:Last>
            <b:First>G.</b:First>
          </b:Person>
        </b:NameList>
      </b:Author>
    </b:Author>
    <b:Volume>1023</b:Volume>
    <b:URL>https://doi.org/10.1149/1.2086597</b:URL>
    <b:RefOrder>49</b:RefOrder>
  </b:Source>
  <b:Source>
    <b:Tag>Cha16</b:Tag>
    <b:SourceType>JournalArticle</b:SourceType>
    <b:Guid>{79E78A18-CC6B-4444-90D3-93F8800A977F}</b:Guid>
    <b:LCID>en-US</b:LCID>
    <b:Title>Solid-State NMR Investigations on the Structure and Dynamics of the Ionic Conductor Li1+xAlxTi2–x(PO4)3 (0.0 ≤ x ≤ 1.0)</b:Title>
    <b:JournalName>J. Phys. Chem. C</b:JournalName>
    <b:Year>2016</b:Year>
    <b:Pages>8436–8442</b:Pages>
    <b:Author>
      <b:Author>
        <b:NameList>
          <b:Person>
            <b:Last>Chandran</b:Last>
            <b:First>C.</b:First>
            <b:Middle>V.</b:Middle>
          </b:Person>
          <b:Person>
            <b:Last>Pristat</b:Last>
            <b:First>S.</b:First>
          </b:Person>
          <b:Person>
            <b:Last>Witt</b:Last>
            <b:First>E.</b:First>
          </b:Person>
          <b:Person>
            <b:Last>Tietz</b:Last>
            <b:First>F.</b:First>
          </b:Person>
          <b:Person>
            <b:Last>Heitjans</b:Last>
            <b:First>P.</b:First>
          </b:Person>
        </b:NameList>
      </b:Author>
    </b:Author>
    <b:Volume>120</b:Volume>
    <b:URL>https://doi.org/10.1021/acs.jpcc.6b00318</b:URL>
    <b:RefOrder>50</b:RefOrder>
  </b:Source>
  <b:Source>
    <b:Tag>ONe83</b:Tag>
    <b:SourceType>JournalArticle</b:SourceType>
    <b:Guid>{C099A822-8EF6-4DB2-9E81-DF8428C4D979}</b:Guid>
    <b:LCID>en-US</b:LCID>
    <b:Title>Simple spinels: crystallographic parameters, cation radii, lattice energies, and cation distribution</b:Title>
    <b:JournalName>Am. Mineral.</b:JournalName>
    <b:Year>1983</b:Year>
    <b:Pages>181–194</b:Pages>
    <b:Author>
      <b:Author>
        <b:NameList>
          <b:Person>
            <b:Last>O’Neill</b:Last>
            <b:First>H.</b:First>
            <b:Middle>S. C.</b:Middle>
          </b:Person>
          <b:Person>
            <b:Last>Navrotsky</b:Last>
            <b:First>A.</b:First>
          </b:Person>
        </b:NameList>
      </b:Author>
    </b:Author>
    <b:Volume>68</b:Volume>
    <b:URL>https://pubs.geoscienceworld.org/msa/ammin/article-abstract/68/1-2/181/41446/Simple-spinels-crystallographic-parameters-cation?redirectedFrom=fulltext</b:URL>
    <b:RefOrder>52</b:RefOrder>
  </b:Source>
  <b:Source>
    <b:Tag>Per12</b:Tag>
    <b:SourceType>JournalArticle</b:SourceType>
    <b:Guid>{8BBAA81A-1302-4EEF-949B-CB971F4C8C0E}</b:Guid>
    <b:LCID>en-US</b:LCID>
    <b:Title>Co3O4–Co2ZnO4 spinels: The case for a solid solution</b:Title>
    <b:JournalName>J. Solid State Chem.</b:JournalName>
    <b:Year>2012</b:Year>
    <b:Pages>143–149</b:Pages>
    <b:Author>
      <b:Author>
        <b:NameList>
          <b:Person>
            <b:Last>Perry</b:Last>
            <b:First>N.</b:First>
            <b:Middle>H.</b:Middle>
          </b:Person>
          <b:Person>
            <b:Last>Mason</b:Last>
            <b:First>T.</b:First>
            <b:Middle>O.</b:Middle>
          </b:Person>
          <b:Person>
            <b:Last>Ma</b:Last>
            <b:First>C.</b:First>
          </b:Person>
          <b:Person>
            <b:Last>Navrotsky</b:Last>
            <b:First>A.</b:First>
          </b:Person>
          <b:Person>
            <b:Last>Shi</b:Last>
            <b:First>Y.</b:First>
          </b:Person>
          <b:Person>
            <b:Last>Bettinger</b:Last>
            <b:First>J.</b:First>
            <b:Middle>S.</b:Middle>
          </b:Person>
          <b:Person>
            <b:Last>Toney</b:Last>
            <b:First>M.</b:First>
            <b:Middle>F.</b:Middle>
          </b:Person>
          <b:Person>
            <b:Last>Paudel</b:Last>
            <b:First>T.</b:First>
            <b:Middle>R.</b:Middle>
          </b:Person>
          <b:Person>
            <b:Last>Lany</b:Last>
            <b:First>S.</b:First>
          </b:Person>
          <b:Person>
            <b:Last>Zunger</b:Last>
            <b:First>A.</b:First>
          </b:Person>
        </b:NameList>
      </b:Author>
    </b:Author>
    <b:Volume>190</b:Volume>
    <b:URL>https://doi.org/10.1016/j.jssc.2012.02.022</b:URL>
    <b:RefOrder>51</b:RefOrder>
  </b:Source>
</b:Sources>
</file>

<file path=customXml/itemProps1.xml><?xml version="1.0" encoding="utf-8"?>
<ds:datastoreItem xmlns:ds="http://schemas.openxmlformats.org/officeDocument/2006/customXml" ds:itemID="{F8B640BA-AD23-4D87-9A66-8158C04D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1664</Words>
  <Characters>9490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Mykola Abramchuk</cp:lastModifiedBy>
  <cp:revision>4</cp:revision>
  <dcterms:created xsi:type="dcterms:W3CDTF">2021-04-23T16:48:00Z</dcterms:created>
  <dcterms:modified xsi:type="dcterms:W3CDTF">2021-04-23T16:54:00Z</dcterms:modified>
</cp:coreProperties>
</file>